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F4A0" w14:textId="4AA56905" w:rsidR="003B2F07" w:rsidRDefault="009E6C97">
      <w:pPr>
        <w:pStyle w:val="Heading1"/>
        <w:spacing w:before="0"/>
      </w:pPr>
      <w:r>
        <w:t>Committee</w:t>
      </w:r>
      <w:r w:rsidR="00B83A3D">
        <w:t xml:space="preserve"> Name</w:t>
      </w:r>
      <w:r>
        <w:t xml:space="preserve"> - Agenda</w:t>
      </w:r>
    </w:p>
    <w:p w14:paraId="668C7830" w14:textId="77777777" w:rsidR="003B2F07" w:rsidRDefault="009E6C97">
      <w:pPr>
        <w:pStyle w:val="Heading2"/>
      </w:pPr>
      <w:r>
        <w:t>Meeting Details</w:t>
      </w:r>
    </w:p>
    <w:p w14:paraId="35EBBE67" w14:textId="77777777" w:rsidR="003B2F07" w:rsidRDefault="009E6C97">
      <w:r>
        <w:rPr>
          <w:b/>
        </w:rPr>
        <w:t xml:space="preserve">Date: </w:t>
      </w:r>
      <w:r>
        <w:t>February 2, 2026</w:t>
      </w:r>
    </w:p>
    <w:p w14:paraId="2FF43DA6" w14:textId="77777777" w:rsidR="003B2F07" w:rsidRDefault="009E6C97">
      <w:r>
        <w:rPr>
          <w:b/>
        </w:rPr>
        <w:t xml:space="preserve">Time: </w:t>
      </w:r>
      <w:r>
        <w:t>1:00 p.m. - 2:00 p.m.</w:t>
      </w:r>
    </w:p>
    <w:p w14:paraId="47EDE70A" w14:textId="77777777" w:rsidR="003B2F07" w:rsidRDefault="009E6C97">
      <w:r>
        <w:rPr>
          <w:b/>
        </w:rPr>
        <w:t xml:space="preserve">Location: </w:t>
      </w:r>
      <w:r>
        <w:t>CCR 233</w:t>
      </w:r>
    </w:p>
    <w:p w14:paraId="0836B83E" w14:textId="77777777" w:rsidR="003B2F07" w:rsidRDefault="009E6C97">
      <w:pPr>
        <w:pStyle w:val="Heading3"/>
      </w:pPr>
      <w:r>
        <w:t>Acronyms used in this agenda</w:t>
      </w:r>
    </w:p>
    <w:p w14:paraId="3646DDDE" w14:textId="77777777" w:rsidR="003B2F07" w:rsidRDefault="009E6C97">
      <w:pPr>
        <w:pStyle w:val="ListBullet"/>
      </w:pPr>
      <w:r>
        <w:t>SD# = Strategic Direction number(s)</w:t>
      </w:r>
    </w:p>
    <w:p w14:paraId="57BA6217" w14:textId="77777777" w:rsidR="003B2F07" w:rsidRDefault="009E6C97">
      <w:pPr>
        <w:pStyle w:val="ListBullet"/>
      </w:pPr>
      <w:r>
        <w:t>SEG# = Student Equity Goal number(s)</w:t>
      </w:r>
    </w:p>
    <w:p w14:paraId="24520165" w14:textId="77777777" w:rsidR="003B2F07" w:rsidRDefault="009E6C97">
      <w:pPr>
        <w:pStyle w:val="Heading2"/>
      </w:pPr>
      <w:r>
        <w:t>Members (Attendance)</w:t>
      </w:r>
    </w:p>
    <w:p w14:paraId="790C4EE3" w14:textId="77777777" w:rsidR="003B2F07" w:rsidRDefault="009E6C97">
      <w:r>
        <w:t>Enter P (present) or A (absent) in the Attendance column.</w:t>
      </w:r>
    </w:p>
    <w:tbl>
      <w:tblPr>
        <w:tblStyle w:val="TableGrid"/>
        <w:tblW w:w="9720" w:type="dxa"/>
        <w:tblLayout w:type="fixed"/>
        <w:tblLook w:val="04A0" w:firstRow="1" w:lastRow="0" w:firstColumn="1" w:lastColumn="0" w:noHBand="0" w:noVBand="1"/>
      </w:tblPr>
      <w:tblGrid>
        <w:gridCol w:w="2088"/>
        <w:gridCol w:w="3888"/>
        <w:gridCol w:w="3744"/>
      </w:tblGrid>
      <w:tr w:rsidR="003B2F07" w14:paraId="7337A854" w14:textId="77777777" w:rsidTr="009C29D8">
        <w:trPr>
          <w:cantSplit/>
          <w:tblHeader/>
        </w:trPr>
        <w:tc>
          <w:tcPr>
            <w:tcW w:w="2088" w:type="dxa"/>
          </w:tcPr>
          <w:p w14:paraId="683B5A71" w14:textId="77777777" w:rsidR="003B2F07" w:rsidRDefault="009E6C97">
            <w:pPr>
              <w:spacing w:after="0"/>
            </w:pPr>
            <w:r>
              <w:rPr>
                <w:b/>
              </w:rPr>
              <w:t>Attendance (P/A)</w:t>
            </w:r>
          </w:p>
        </w:tc>
        <w:tc>
          <w:tcPr>
            <w:tcW w:w="3888" w:type="dxa"/>
          </w:tcPr>
          <w:p w14:paraId="4809842E" w14:textId="77777777" w:rsidR="003B2F07" w:rsidRDefault="009E6C97">
            <w:pPr>
              <w:spacing w:after="0"/>
            </w:pPr>
            <w:r>
              <w:rPr>
                <w:b/>
              </w:rPr>
              <w:t>Member</w:t>
            </w:r>
          </w:p>
        </w:tc>
        <w:tc>
          <w:tcPr>
            <w:tcW w:w="3744" w:type="dxa"/>
          </w:tcPr>
          <w:p w14:paraId="3020BE77" w14:textId="77777777" w:rsidR="003B2F07" w:rsidRDefault="009E6C97">
            <w:pPr>
              <w:spacing w:after="0"/>
            </w:pPr>
            <w:r>
              <w:rPr>
                <w:b/>
              </w:rPr>
              <w:t>Role / Representation</w:t>
            </w:r>
          </w:p>
        </w:tc>
      </w:tr>
      <w:tr w:rsidR="003B2F07" w14:paraId="0F1A5BAB" w14:textId="77777777" w:rsidTr="009C29D8">
        <w:trPr>
          <w:cantSplit/>
        </w:trPr>
        <w:tc>
          <w:tcPr>
            <w:tcW w:w="2088" w:type="dxa"/>
          </w:tcPr>
          <w:p w14:paraId="39419B32" w14:textId="77777777" w:rsidR="003B2F07" w:rsidRDefault="003B2F07">
            <w:pPr>
              <w:spacing w:after="0"/>
            </w:pPr>
          </w:p>
        </w:tc>
        <w:tc>
          <w:tcPr>
            <w:tcW w:w="3888" w:type="dxa"/>
          </w:tcPr>
          <w:p w14:paraId="24EBB099" w14:textId="5CEDB3A9" w:rsidR="003B2F07" w:rsidRDefault="003B2F07">
            <w:pPr>
              <w:spacing w:after="0"/>
            </w:pPr>
          </w:p>
        </w:tc>
        <w:tc>
          <w:tcPr>
            <w:tcW w:w="3744" w:type="dxa"/>
          </w:tcPr>
          <w:p w14:paraId="00E2927C" w14:textId="350A0850" w:rsidR="003B2F07" w:rsidRDefault="003B2F07">
            <w:pPr>
              <w:spacing w:after="0"/>
            </w:pPr>
          </w:p>
        </w:tc>
      </w:tr>
      <w:tr w:rsidR="003B2F07" w14:paraId="77A4C4D4" w14:textId="77777777" w:rsidTr="009C29D8">
        <w:trPr>
          <w:cantSplit/>
        </w:trPr>
        <w:tc>
          <w:tcPr>
            <w:tcW w:w="2088" w:type="dxa"/>
          </w:tcPr>
          <w:p w14:paraId="013B6094" w14:textId="77777777" w:rsidR="003B2F07" w:rsidRDefault="003B2F07">
            <w:pPr>
              <w:spacing w:after="0"/>
            </w:pPr>
          </w:p>
        </w:tc>
        <w:tc>
          <w:tcPr>
            <w:tcW w:w="3888" w:type="dxa"/>
          </w:tcPr>
          <w:p w14:paraId="5DF4C83F" w14:textId="2686EFA6" w:rsidR="003B2F07" w:rsidRDefault="003B2F07">
            <w:pPr>
              <w:spacing w:after="0"/>
            </w:pPr>
          </w:p>
        </w:tc>
        <w:tc>
          <w:tcPr>
            <w:tcW w:w="3744" w:type="dxa"/>
          </w:tcPr>
          <w:p w14:paraId="12B2FD1C" w14:textId="261248FE" w:rsidR="003B2F07" w:rsidRDefault="003B2F07">
            <w:pPr>
              <w:spacing w:after="0"/>
            </w:pPr>
          </w:p>
        </w:tc>
      </w:tr>
      <w:tr w:rsidR="003B2F07" w14:paraId="5EBE02EC" w14:textId="77777777" w:rsidTr="009C29D8">
        <w:trPr>
          <w:cantSplit/>
        </w:trPr>
        <w:tc>
          <w:tcPr>
            <w:tcW w:w="2088" w:type="dxa"/>
          </w:tcPr>
          <w:p w14:paraId="071FF8EC" w14:textId="77777777" w:rsidR="003B2F07" w:rsidRDefault="003B2F07">
            <w:pPr>
              <w:spacing w:after="0"/>
            </w:pPr>
          </w:p>
        </w:tc>
        <w:tc>
          <w:tcPr>
            <w:tcW w:w="3888" w:type="dxa"/>
          </w:tcPr>
          <w:p w14:paraId="709D2B9B" w14:textId="3C5DE8F0" w:rsidR="003B2F07" w:rsidRDefault="003B2F07">
            <w:pPr>
              <w:spacing w:after="0"/>
            </w:pPr>
          </w:p>
        </w:tc>
        <w:tc>
          <w:tcPr>
            <w:tcW w:w="3744" w:type="dxa"/>
          </w:tcPr>
          <w:p w14:paraId="589ECA26" w14:textId="21A46FB3" w:rsidR="003B2F07" w:rsidRDefault="003B2F07">
            <w:pPr>
              <w:spacing w:after="0"/>
            </w:pPr>
          </w:p>
        </w:tc>
      </w:tr>
      <w:tr w:rsidR="003B2F07" w14:paraId="3D8FA233" w14:textId="77777777" w:rsidTr="009C29D8">
        <w:trPr>
          <w:cantSplit/>
        </w:trPr>
        <w:tc>
          <w:tcPr>
            <w:tcW w:w="2088" w:type="dxa"/>
          </w:tcPr>
          <w:p w14:paraId="3A82FFE3" w14:textId="77777777" w:rsidR="003B2F07" w:rsidRDefault="003B2F07">
            <w:pPr>
              <w:spacing w:after="0"/>
            </w:pPr>
          </w:p>
        </w:tc>
        <w:tc>
          <w:tcPr>
            <w:tcW w:w="3888" w:type="dxa"/>
          </w:tcPr>
          <w:p w14:paraId="4E9F6D5F" w14:textId="0E00C5A4" w:rsidR="003B2F07" w:rsidRDefault="003B2F07">
            <w:pPr>
              <w:spacing w:after="0"/>
            </w:pPr>
          </w:p>
        </w:tc>
        <w:tc>
          <w:tcPr>
            <w:tcW w:w="3744" w:type="dxa"/>
          </w:tcPr>
          <w:p w14:paraId="5533C168" w14:textId="79BE20E4" w:rsidR="003B2F07" w:rsidRDefault="003B2F07">
            <w:pPr>
              <w:spacing w:after="0"/>
            </w:pPr>
          </w:p>
        </w:tc>
      </w:tr>
      <w:tr w:rsidR="003B2F07" w14:paraId="646C5FC6" w14:textId="77777777" w:rsidTr="009C29D8">
        <w:trPr>
          <w:cantSplit/>
        </w:trPr>
        <w:tc>
          <w:tcPr>
            <w:tcW w:w="2088" w:type="dxa"/>
          </w:tcPr>
          <w:p w14:paraId="4A4E5C30" w14:textId="77777777" w:rsidR="003B2F07" w:rsidRDefault="003B2F07">
            <w:pPr>
              <w:spacing w:after="0"/>
            </w:pPr>
          </w:p>
        </w:tc>
        <w:tc>
          <w:tcPr>
            <w:tcW w:w="3888" w:type="dxa"/>
          </w:tcPr>
          <w:p w14:paraId="3B33793A" w14:textId="0985F5E7" w:rsidR="003B2F07" w:rsidRDefault="003B2F07">
            <w:pPr>
              <w:spacing w:after="0"/>
            </w:pPr>
          </w:p>
        </w:tc>
        <w:tc>
          <w:tcPr>
            <w:tcW w:w="3744" w:type="dxa"/>
          </w:tcPr>
          <w:p w14:paraId="40BE6D1A" w14:textId="4EAACCF7" w:rsidR="003B2F07" w:rsidRDefault="003B2F07">
            <w:pPr>
              <w:spacing w:after="0"/>
            </w:pPr>
          </w:p>
        </w:tc>
      </w:tr>
      <w:tr w:rsidR="003B2F07" w14:paraId="50C1E232" w14:textId="77777777" w:rsidTr="009C29D8">
        <w:trPr>
          <w:cantSplit/>
        </w:trPr>
        <w:tc>
          <w:tcPr>
            <w:tcW w:w="2088" w:type="dxa"/>
          </w:tcPr>
          <w:p w14:paraId="2CA32D43" w14:textId="77777777" w:rsidR="003B2F07" w:rsidRDefault="003B2F07">
            <w:pPr>
              <w:spacing w:after="0"/>
            </w:pPr>
          </w:p>
        </w:tc>
        <w:tc>
          <w:tcPr>
            <w:tcW w:w="3888" w:type="dxa"/>
          </w:tcPr>
          <w:p w14:paraId="0B0C2043" w14:textId="2BBA05DE" w:rsidR="003B2F07" w:rsidRDefault="003B2F07">
            <w:pPr>
              <w:spacing w:after="0"/>
            </w:pPr>
          </w:p>
        </w:tc>
        <w:tc>
          <w:tcPr>
            <w:tcW w:w="3744" w:type="dxa"/>
          </w:tcPr>
          <w:p w14:paraId="6B3E514D" w14:textId="73374E0C" w:rsidR="003B2F07" w:rsidRDefault="003B2F07">
            <w:pPr>
              <w:spacing w:after="0"/>
            </w:pPr>
          </w:p>
        </w:tc>
      </w:tr>
      <w:tr w:rsidR="003B2F07" w14:paraId="10A2F653" w14:textId="77777777" w:rsidTr="009C29D8">
        <w:trPr>
          <w:cantSplit/>
        </w:trPr>
        <w:tc>
          <w:tcPr>
            <w:tcW w:w="2088" w:type="dxa"/>
          </w:tcPr>
          <w:p w14:paraId="390F6F4E" w14:textId="77777777" w:rsidR="003B2F07" w:rsidRDefault="003B2F07">
            <w:pPr>
              <w:spacing w:after="0"/>
            </w:pPr>
          </w:p>
        </w:tc>
        <w:tc>
          <w:tcPr>
            <w:tcW w:w="3888" w:type="dxa"/>
          </w:tcPr>
          <w:p w14:paraId="202DE6B1" w14:textId="349593D0" w:rsidR="003B2F07" w:rsidRDefault="003B2F07">
            <w:pPr>
              <w:spacing w:after="0"/>
            </w:pPr>
          </w:p>
        </w:tc>
        <w:tc>
          <w:tcPr>
            <w:tcW w:w="3744" w:type="dxa"/>
          </w:tcPr>
          <w:p w14:paraId="1BF7E899" w14:textId="1A7FD185" w:rsidR="003B2F07" w:rsidRDefault="003B2F07">
            <w:pPr>
              <w:spacing w:after="0"/>
            </w:pPr>
          </w:p>
        </w:tc>
      </w:tr>
      <w:tr w:rsidR="003B2F07" w14:paraId="67AE8541" w14:textId="77777777" w:rsidTr="009C29D8">
        <w:trPr>
          <w:cantSplit/>
        </w:trPr>
        <w:tc>
          <w:tcPr>
            <w:tcW w:w="2088" w:type="dxa"/>
          </w:tcPr>
          <w:p w14:paraId="56D07F3B" w14:textId="77777777" w:rsidR="003B2F07" w:rsidRDefault="003B2F07">
            <w:pPr>
              <w:spacing w:after="0"/>
            </w:pPr>
          </w:p>
        </w:tc>
        <w:tc>
          <w:tcPr>
            <w:tcW w:w="3888" w:type="dxa"/>
          </w:tcPr>
          <w:p w14:paraId="17ADD34D" w14:textId="66903FEF" w:rsidR="003B2F07" w:rsidRDefault="003B2F07">
            <w:pPr>
              <w:spacing w:after="0"/>
            </w:pPr>
          </w:p>
        </w:tc>
        <w:tc>
          <w:tcPr>
            <w:tcW w:w="3744" w:type="dxa"/>
          </w:tcPr>
          <w:p w14:paraId="028FF4C9" w14:textId="69546AC0" w:rsidR="003B2F07" w:rsidRDefault="003B2F07">
            <w:pPr>
              <w:spacing w:after="0"/>
            </w:pPr>
          </w:p>
        </w:tc>
      </w:tr>
      <w:tr w:rsidR="003B2F07" w14:paraId="4706DD82" w14:textId="77777777" w:rsidTr="009C29D8">
        <w:trPr>
          <w:cantSplit/>
        </w:trPr>
        <w:tc>
          <w:tcPr>
            <w:tcW w:w="2088" w:type="dxa"/>
          </w:tcPr>
          <w:p w14:paraId="2D3AFE56" w14:textId="77777777" w:rsidR="003B2F07" w:rsidRDefault="003B2F07">
            <w:pPr>
              <w:spacing w:after="0"/>
            </w:pPr>
          </w:p>
        </w:tc>
        <w:tc>
          <w:tcPr>
            <w:tcW w:w="3888" w:type="dxa"/>
          </w:tcPr>
          <w:p w14:paraId="4B3BED0D" w14:textId="3DD9ED27" w:rsidR="003B2F07" w:rsidRDefault="003B2F07">
            <w:pPr>
              <w:spacing w:after="0"/>
            </w:pPr>
          </w:p>
        </w:tc>
        <w:tc>
          <w:tcPr>
            <w:tcW w:w="3744" w:type="dxa"/>
          </w:tcPr>
          <w:p w14:paraId="5501F452" w14:textId="46F19B26" w:rsidR="003B2F07" w:rsidRDefault="003B2F07">
            <w:pPr>
              <w:spacing w:after="0"/>
            </w:pPr>
          </w:p>
        </w:tc>
      </w:tr>
      <w:tr w:rsidR="003B2F07" w14:paraId="434797D5" w14:textId="77777777" w:rsidTr="009C29D8">
        <w:trPr>
          <w:cantSplit/>
        </w:trPr>
        <w:tc>
          <w:tcPr>
            <w:tcW w:w="2088" w:type="dxa"/>
          </w:tcPr>
          <w:p w14:paraId="6D6C9765" w14:textId="77777777" w:rsidR="003B2F07" w:rsidRDefault="003B2F07">
            <w:pPr>
              <w:spacing w:after="0"/>
            </w:pPr>
          </w:p>
        </w:tc>
        <w:tc>
          <w:tcPr>
            <w:tcW w:w="3888" w:type="dxa"/>
          </w:tcPr>
          <w:p w14:paraId="79F8EF5B" w14:textId="7C58346A" w:rsidR="003B2F07" w:rsidRDefault="003B2F07">
            <w:pPr>
              <w:spacing w:after="0"/>
            </w:pPr>
          </w:p>
        </w:tc>
        <w:tc>
          <w:tcPr>
            <w:tcW w:w="3744" w:type="dxa"/>
          </w:tcPr>
          <w:p w14:paraId="5E036507" w14:textId="6C6BBDAB" w:rsidR="003B2F07" w:rsidRDefault="003B2F07">
            <w:pPr>
              <w:spacing w:after="0"/>
            </w:pPr>
          </w:p>
        </w:tc>
      </w:tr>
      <w:tr w:rsidR="003B2F07" w14:paraId="50B46012" w14:textId="77777777" w:rsidTr="009C29D8">
        <w:trPr>
          <w:cantSplit/>
        </w:trPr>
        <w:tc>
          <w:tcPr>
            <w:tcW w:w="2088" w:type="dxa"/>
          </w:tcPr>
          <w:p w14:paraId="2C989B80" w14:textId="77777777" w:rsidR="003B2F07" w:rsidRDefault="003B2F07">
            <w:pPr>
              <w:spacing w:after="0"/>
            </w:pPr>
          </w:p>
        </w:tc>
        <w:tc>
          <w:tcPr>
            <w:tcW w:w="3888" w:type="dxa"/>
          </w:tcPr>
          <w:p w14:paraId="75923E29" w14:textId="4A77FE9F" w:rsidR="003B2F07" w:rsidRDefault="003B2F07">
            <w:pPr>
              <w:spacing w:after="0"/>
            </w:pPr>
          </w:p>
        </w:tc>
        <w:tc>
          <w:tcPr>
            <w:tcW w:w="3744" w:type="dxa"/>
          </w:tcPr>
          <w:p w14:paraId="0667A1BC" w14:textId="5EDFCAE8" w:rsidR="003B2F07" w:rsidRDefault="003B2F07">
            <w:pPr>
              <w:spacing w:after="0"/>
            </w:pPr>
          </w:p>
        </w:tc>
      </w:tr>
      <w:tr w:rsidR="003B2F07" w14:paraId="444CBA95" w14:textId="77777777" w:rsidTr="009C29D8">
        <w:trPr>
          <w:cantSplit/>
        </w:trPr>
        <w:tc>
          <w:tcPr>
            <w:tcW w:w="2088" w:type="dxa"/>
          </w:tcPr>
          <w:p w14:paraId="32D663EA" w14:textId="77777777" w:rsidR="003B2F07" w:rsidRDefault="003B2F07">
            <w:pPr>
              <w:spacing w:after="0"/>
            </w:pPr>
          </w:p>
        </w:tc>
        <w:tc>
          <w:tcPr>
            <w:tcW w:w="3888" w:type="dxa"/>
          </w:tcPr>
          <w:p w14:paraId="65C3C586" w14:textId="7AC44266" w:rsidR="003B2F07" w:rsidRDefault="003B2F07">
            <w:pPr>
              <w:spacing w:after="0"/>
            </w:pPr>
          </w:p>
        </w:tc>
        <w:tc>
          <w:tcPr>
            <w:tcW w:w="3744" w:type="dxa"/>
          </w:tcPr>
          <w:p w14:paraId="227D8464" w14:textId="786FF984" w:rsidR="003B2F07" w:rsidRDefault="003B2F07">
            <w:pPr>
              <w:spacing w:after="0"/>
            </w:pPr>
          </w:p>
        </w:tc>
      </w:tr>
    </w:tbl>
    <w:p w14:paraId="4E9EC031" w14:textId="77777777" w:rsidR="003B2F07" w:rsidRDefault="009E6C97">
      <w:r>
        <w:br w:type="page"/>
      </w:r>
    </w:p>
    <w:p w14:paraId="3B3FFE61" w14:textId="77777777" w:rsidR="003B2F07" w:rsidRDefault="009E6C97">
      <w:pPr>
        <w:pStyle w:val="Heading2"/>
      </w:pPr>
      <w:r>
        <w:lastRenderedPageBreak/>
        <w:t>Action Items</w:t>
      </w:r>
    </w:p>
    <w:tbl>
      <w:tblPr>
        <w:tblStyle w:val="TableGrid"/>
        <w:tblW w:w="9774" w:type="dxa"/>
        <w:tblLayout w:type="fixed"/>
        <w:tblLook w:val="04A0" w:firstRow="1" w:lastRow="0" w:firstColumn="1" w:lastColumn="0" w:noHBand="0" w:noVBand="1"/>
      </w:tblPr>
      <w:tblGrid>
        <w:gridCol w:w="2880"/>
        <w:gridCol w:w="3438"/>
        <w:gridCol w:w="774"/>
        <w:gridCol w:w="810"/>
        <w:gridCol w:w="1872"/>
      </w:tblGrid>
      <w:tr w:rsidR="003B2F07" w14:paraId="5F655B63" w14:textId="77777777" w:rsidTr="009C29D8">
        <w:trPr>
          <w:cantSplit/>
          <w:tblHeader/>
        </w:trPr>
        <w:tc>
          <w:tcPr>
            <w:tcW w:w="2880" w:type="dxa"/>
          </w:tcPr>
          <w:p w14:paraId="210E9C44" w14:textId="77777777" w:rsidR="003B2F07" w:rsidRDefault="009E6C97">
            <w:pPr>
              <w:spacing w:after="0"/>
            </w:pPr>
            <w:r>
              <w:rPr>
                <w:b/>
              </w:rPr>
              <w:t>Item, presenter, time</w:t>
            </w:r>
          </w:p>
        </w:tc>
        <w:tc>
          <w:tcPr>
            <w:tcW w:w="3438" w:type="dxa"/>
          </w:tcPr>
          <w:p w14:paraId="488DAC0D" w14:textId="77777777" w:rsidR="003B2F07" w:rsidRDefault="009E6C97">
            <w:pPr>
              <w:spacing w:after="0"/>
            </w:pPr>
            <w:r>
              <w:rPr>
                <w:b/>
              </w:rPr>
              <w:t>Minutes</w:t>
            </w:r>
          </w:p>
        </w:tc>
        <w:tc>
          <w:tcPr>
            <w:tcW w:w="774" w:type="dxa"/>
          </w:tcPr>
          <w:p w14:paraId="7E0E5645" w14:textId="77777777" w:rsidR="003B2F07" w:rsidRDefault="009E6C97">
            <w:pPr>
              <w:spacing w:after="0"/>
            </w:pPr>
            <w:r>
              <w:rPr>
                <w:b/>
              </w:rPr>
              <w:t>SD#</w:t>
            </w:r>
          </w:p>
        </w:tc>
        <w:tc>
          <w:tcPr>
            <w:tcW w:w="810" w:type="dxa"/>
          </w:tcPr>
          <w:p w14:paraId="07109652" w14:textId="77777777" w:rsidR="003B2F07" w:rsidRDefault="009E6C97">
            <w:pPr>
              <w:spacing w:after="0"/>
            </w:pPr>
            <w:r>
              <w:rPr>
                <w:b/>
              </w:rPr>
              <w:t>SEG#</w:t>
            </w:r>
          </w:p>
        </w:tc>
        <w:tc>
          <w:tcPr>
            <w:tcW w:w="1872" w:type="dxa"/>
          </w:tcPr>
          <w:p w14:paraId="22638801" w14:textId="77777777" w:rsidR="003B2F07" w:rsidRDefault="009E6C97">
            <w:pPr>
              <w:spacing w:after="0"/>
            </w:pPr>
            <w:r>
              <w:rPr>
                <w:b/>
              </w:rPr>
              <w:t>Proposed action / next steps</w:t>
            </w:r>
          </w:p>
        </w:tc>
      </w:tr>
      <w:tr w:rsidR="003B2F07" w14:paraId="3D8C1AE9" w14:textId="77777777" w:rsidTr="009C29D8">
        <w:trPr>
          <w:cantSplit/>
        </w:trPr>
        <w:tc>
          <w:tcPr>
            <w:tcW w:w="2880" w:type="dxa"/>
          </w:tcPr>
          <w:p w14:paraId="4E6FDAAD" w14:textId="2B2AED93" w:rsidR="003B2F07" w:rsidRDefault="003B2F07">
            <w:pPr>
              <w:spacing w:after="0"/>
            </w:pPr>
          </w:p>
        </w:tc>
        <w:tc>
          <w:tcPr>
            <w:tcW w:w="3438" w:type="dxa"/>
          </w:tcPr>
          <w:p w14:paraId="34250666" w14:textId="3F88614F" w:rsidR="003B2F07" w:rsidRDefault="003B2F07">
            <w:pPr>
              <w:spacing w:after="0"/>
            </w:pPr>
          </w:p>
        </w:tc>
        <w:tc>
          <w:tcPr>
            <w:tcW w:w="774" w:type="dxa"/>
          </w:tcPr>
          <w:p w14:paraId="0B7351F2" w14:textId="56343039" w:rsidR="003B2F07" w:rsidRDefault="003B2F07">
            <w:pPr>
              <w:spacing w:after="0"/>
            </w:pPr>
          </w:p>
        </w:tc>
        <w:tc>
          <w:tcPr>
            <w:tcW w:w="810" w:type="dxa"/>
          </w:tcPr>
          <w:p w14:paraId="621B710D" w14:textId="77777777" w:rsidR="003B2F07" w:rsidRDefault="003B2F07">
            <w:pPr>
              <w:spacing w:after="0"/>
            </w:pPr>
          </w:p>
        </w:tc>
        <w:tc>
          <w:tcPr>
            <w:tcW w:w="1872" w:type="dxa"/>
          </w:tcPr>
          <w:p w14:paraId="51CCEC25" w14:textId="77777777" w:rsidR="003B2F07" w:rsidRDefault="003B2F07">
            <w:pPr>
              <w:spacing w:after="0"/>
            </w:pPr>
          </w:p>
        </w:tc>
      </w:tr>
      <w:tr w:rsidR="003B2F07" w14:paraId="5610FB26" w14:textId="77777777" w:rsidTr="009C29D8">
        <w:trPr>
          <w:cantSplit/>
        </w:trPr>
        <w:tc>
          <w:tcPr>
            <w:tcW w:w="2880" w:type="dxa"/>
          </w:tcPr>
          <w:p w14:paraId="42F143D2" w14:textId="09B2F248" w:rsidR="003B2F07" w:rsidRDefault="003B2F07">
            <w:pPr>
              <w:spacing w:after="0"/>
            </w:pPr>
          </w:p>
        </w:tc>
        <w:tc>
          <w:tcPr>
            <w:tcW w:w="3438" w:type="dxa"/>
          </w:tcPr>
          <w:p w14:paraId="3CC3ADB3" w14:textId="77777777" w:rsidR="003B2F07" w:rsidRDefault="003B2F07">
            <w:pPr>
              <w:spacing w:after="0"/>
            </w:pPr>
          </w:p>
        </w:tc>
        <w:tc>
          <w:tcPr>
            <w:tcW w:w="774" w:type="dxa"/>
          </w:tcPr>
          <w:p w14:paraId="39EB80C6" w14:textId="28E8E557" w:rsidR="003B2F07" w:rsidRDefault="003B2F07">
            <w:pPr>
              <w:spacing w:after="0"/>
            </w:pPr>
          </w:p>
        </w:tc>
        <w:tc>
          <w:tcPr>
            <w:tcW w:w="810" w:type="dxa"/>
          </w:tcPr>
          <w:p w14:paraId="1AB7F01E" w14:textId="77777777" w:rsidR="003B2F07" w:rsidRDefault="003B2F07">
            <w:pPr>
              <w:spacing w:after="0"/>
            </w:pPr>
          </w:p>
        </w:tc>
        <w:tc>
          <w:tcPr>
            <w:tcW w:w="1872" w:type="dxa"/>
          </w:tcPr>
          <w:p w14:paraId="1D836D9E" w14:textId="77777777" w:rsidR="003B2F07" w:rsidRDefault="003B2F07">
            <w:pPr>
              <w:spacing w:after="0"/>
            </w:pPr>
          </w:p>
        </w:tc>
      </w:tr>
      <w:tr w:rsidR="003B2F07" w14:paraId="5C4231BF" w14:textId="77777777" w:rsidTr="009C29D8">
        <w:trPr>
          <w:cantSplit/>
        </w:trPr>
        <w:tc>
          <w:tcPr>
            <w:tcW w:w="2880" w:type="dxa"/>
          </w:tcPr>
          <w:p w14:paraId="647FB5D9" w14:textId="3729263D" w:rsidR="003B2F07" w:rsidRDefault="003B2F07">
            <w:pPr>
              <w:spacing w:after="0"/>
            </w:pPr>
          </w:p>
        </w:tc>
        <w:tc>
          <w:tcPr>
            <w:tcW w:w="3438" w:type="dxa"/>
          </w:tcPr>
          <w:p w14:paraId="127025E5" w14:textId="6E09EDB0" w:rsidR="003B2F07" w:rsidRDefault="003B2F07" w:rsidP="00D306B2">
            <w:pPr>
              <w:pStyle w:val="ListBullet"/>
              <w:numPr>
                <w:ilvl w:val="0"/>
                <w:numId w:val="0"/>
              </w:numPr>
              <w:spacing w:after="0"/>
              <w:ind w:left="360"/>
            </w:pPr>
          </w:p>
        </w:tc>
        <w:tc>
          <w:tcPr>
            <w:tcW w:w="774" w:type="dxa"/>
          </w:tcPr>
          <w:p w14:paraId="736A706B" w14:textId="3105660F" w:rsidR="003B2F07" w:rsidRDefault="003B2F07">
            <w:pPr>
              <w:spacing w:after="0"/>
            </w:pPr>
          </w:p>
        </w:tc>
        <w:tc>
          <w:tcPr>
            <w:tcW w:w="810" w:type="dxa"/>
          </w:tcPr>
          <w:p w14:paraId="5567BBD8" w14:textId="77777777" w:rsidR="003B2F07" w:rsidRDefault="003B2F07">
            <w:pPr>
              <w:spacing w:after="0"/>
            </w:pPr>
          </w:p>
        </w:tc>
        <w:tc>
          <w:tcPr>
            <w:tcW w:w="1872" w:type="dxa"/>
          </w:tcPr>
          <w:p w14:paraId="079E3ACB" w14:textId="77777777" w:rsidR="003B2F07" w:rsidRDefault="003B2F07">
            <w:pPr>
              <w:spacing w:after="0"/>
            </w:pPr>
          </w:p>
        </w:tc>
      </w:tr>
      <w:tr w:rsidR="003B2F07" w14:paraId="40BCD1C9" w14:textId="77777777" w:rsidTr="009C29D8">
        <w:trPr>
          <w:cantSplit/>
        </w:trPr>
        <w:tc>
          <w:tcPr>
            <w:tcW w:w="2880" w:type="dxa"/>
          </w:tcPr>
          <w:p w14:paraId="727B4879" w14:textId="3C7E6D35" w:rsidR="003B2F07" w:rsidRDefault="003B2F07">
            <w:pPr>
              <w:spacing w:after="0"/>
            </w:pPr>
          </w:p>
        </w:tc>
        <w:tc>
          <w:tcPr>
            <w:tcW w:w="3438" w:type="dxa"/>
          </w:tcPr>
          <w:p w14:paraId="7E982CDC" w14:textId="77777777" w:rsidR="003B2F07" w:rsidRDefault="003B2F07">
            <w:pPr>
              <w:spacing w:after="0"/>
            </w:pPr>
          </w:p>
        </w:tc>
        <w:tc>
          <w:tcPr>
            <w:tcW w:w="774" w:type="dxa"/>
          </w:tcPr>
          <w:p w14:paraId="2EFDEB22" w14:textId="41823D82" w:rsidR="003B2F07" w:rsidRDefault="003B2F07">
            <w:pPr>
              <w:spacing w:after="0"/>
            </w:pPr>
          </w:p>
        </w:tc>
        <w:tc>
          <w:tcPr>
            <w:tcW w:w="810" w:type="dxa"/>
          </w:tcPr>
          <w:p w14:paraId="5E3250E4" w14:textId="40ACD55E" w:rsidR="003B2F07" w:rsidRDefault="003B2F07">
            <w:pPr>
              <w:spacing w:after="0"/>
            </w:pPr>
          </w:p>
        </w:tc>
        <w:tc>
          <w:tcPr>
            <w:tcW w:w="1872" w:type="dxa"/>
          </w:tcPr>
          <w:p w14:paraId="4B5616FD" w14:textId="77777777" w:rsidR="003B2F07" w:rsidRDefault="003B2F07">
            <w:pPr>
              <w:spacing w:after="0"/>
            </w:pPr>
          </w:p>
        </w:tc>
      </w:tr>
      <w:tr w:rsidR="003B2F07" w14:paraId="6B38B15F" w14:textId="77777777" w:rsidTr="009C29D8">
        <w:trPr>
          <w:cantSplit/>
        </w:trPr>
        <w:tc>
          <w:tcPr>
            <w:tcW w:w="2880" w:type="dxa"/>
          </w:tcPr>
          <w:p w14:paraId="26C8D8BF" w14:textId="25137C50" w:rsidR="003B2F07" w:rsidRDefault="003B2F07">
            <w:pPr>
              <w:spacing w:after="0"/>
            </w:pPr>
          </w:p>
        </w:tc>
        <w:tc>
          <w:tcPr>
            <w:tcW w:w="3438" w:type="dxa"/>
          </w:tcPr>
          <w:p w14:paraId="022FF13B" w14:textId="77777777" w:rsidR="003B2F07" w:rsidRDefault="003B2F07">
            <w:pPr>
              <w:spacing w:after="0"/>
            </w:pPr>
          </w:p>
        </w:tc>
        <w:tc>
          <w:tcPr>
            <w:tcW w:w="774" w:type="dxa"/>
          </w:tcPr>
          <w:p w14:paraId="04460FBF" w14:textId="300403D3" w:rsidR="003B2F07" w:rsidRDefault="003B2F07">
            <w:pPr>
              <w:spacing w:after="0"/>
            </w:pPr>
          </w:p>
        </w:tc>
        <w:tc>
          <w:tcPr>
            <w:tcW w:w="810" w:type="dxa"/>
          </w:tcPr>
          <w:p w14:paraId="0ED6C56B" w14:textId="593060F2" w:rsidR="003B2F07" w:rsidRDefault="003B2F07">
            <w:pPr>
              <w:spacing w:after="0"/>
            </w:pPr>
          </w:p>
        </w:tc>
        <w:tc>
          <w:tcPr>
            <w:tcW w:w="1872" w:type="dxa"/>
          </w:tcPr>
          <w:p w14:paraId="606058BA" w14:textId="77777777" w:rsidR="003B2F07" w:rsidRDefault="003B2F07">
            <w:pPr>
              <w:spacing w:after="0"/>
            </w:pPr>
          </w:p>
        </w:tc>
      </w:tr>
      <w:tr w:rsidR="003B2F07" w14:paraId="7603BD26" w14:textId="77777777" w:rsidTr="009C29D8">
        <w:trPr>
          <w:cantSplit/>
        </w:trPr>
        <w:tc>
          <w:tcPr>
            <w:tcW w:w="2880" w:type="dxa"/>
          </w:tcPr>
          <w:p w14:paraId="78F96AEA" w14:textId="3833453B" w:rsidR="003B2F07" w:rsidRDefault="003B2F07">
            <w:pPr>
              <w:spacing w:after="0"/>
            </w:pPr>
          </w:p>
        </w:tc>
        <w:tc>
          <w:tcPr>
            <w:tcW w:w="3438" w:type="dxa"/>
          </w:tcPr>
          <w:p w14:paraId="1387984F" w14:textId="77777777" w:rsidR="003B2F07" w:rsidRDefault="003B2F07">
            <w:pPr>
              <w:spacing w:after="0"/>
            </w:pPr>
          </w:p>
        </w:tc>
        <w:tc>
          <w:tcPr>
            <w:tcW w:w="774" w:type="dxa"/>
          </w:tcPr>
          <w:p w14:paraId="53EAC792" w14:textId="21B858CC" w:rsidR="003B2F07" w:rsidRDefault="003B2F07">
            <w:pPr>
              <w:spacing w:after="0"/>
            </w:pPr>
          </w:p>
        </w:tc>
        <w:tc>
          <w:tcPr>
            <w:tcW w:w="810" w:type="dxa"/>
          </w:tcPr>
          <w:p w14:paraId="70F700B5" w14:textId="7794C78D" w:rsidR="003B2F07" w:rsidRDefault="003B2F07">
            <w:pPr>
              <w:spacing w:after="0"/>
            </w:pPr>
          </w:p>
        </w:tc>
        <w:tc>
          <w:tcPr>
            <w:tcW w:w="1872" w:type="dxa"/>
          </w:tcPr>
          <w:p w14:paraId="4EE30355" w14:textId="77777777" w:rsidR="003B2F07" w:rsidRDefault="003B2F07">
            <w:pPr>
              <w:spacing w:after="0"/>
            </w:pPr>
          </w:p>
        </w:tc>
      </w:tr>
    </w:tbl>
    <w:p w14:paraId="087C62E1" w14:textId="77777777" w:rsidR="003B2F07" w:rsidRDefault="003B2F07"/>
    <w:p w14:paraId="26E9FFD2" w14:textId="77777777" w:rsidR="003B2F07" w:rsidRDefault="009E6C97">
      <w:pPr>
        <w:pStyle w:val="Heading2"/>
      </w:pPr>
      <w:r>
        <w:t>Enrollment Strategies 2025-2026 Committee Accomplishments</w:t>
      </w:r>
    </w:p>
    <w:p w14:paraId="7A07E9F6" w14:textId="77777777" w:rsidR="003B2F07" w:rsidRDefault="009E6C97">
      <w:r>
        <w:t>Use this section to capture accomplishments discussed during the year.</w:t>
      </w:r>
    </w:p>
    <w:tbl>
      <w:tblPr>
        <w:tblStyle w:val="TableGrid"/>
        <w:tblW w:w="9504" w:type="dxa"/>
        <w:tblLayout w:type="fixed"/>
        <w:tblLook w:val="04A0" w:firstRow="1" w:lastRow="0" w:firstColumn="1" w:lastColumn="0" w:noHBand="0" w:noVBand="1"/>
      </w:tblPr>
      <w:tblGrid>
        <w:gridCol w:w="7038"/>
        <w:gridCol w:w="756"/>
        <w:gridCol w:w="1710"/>
      </w:tblGrid>
      <w:tr w:rsidR="003B2F07" w14:paraId="53BCC58C" w14:textId="77777777" w:rsidTr="009C29D8">
        <w:trPr>
          <w:cantSplit/>
          <w:tblHeader/>
        </w:trPr>
        <w:tc>
          <w:tcPr>
            <w:tcW w:w="7038" w:type="dxa"/>
          </w:tcPr>
          <w:p w14:paraId="1CA777EF" w14:textId="77777777" w:rsidR="003B2F07" w:rsidRDefault="009E6C97">
            <w:pPr>
              <w:spacing w:after="0"/>
            </w:pPr>
            <w:r>
              <w:rPr>
                <w:b/>
              </w:rPr>
              <w:t>Topic</w:t>
            </w:r>
          </w:p>
        </w:tc>
        <w:tc>
          <w:tcPr>
            <w:tcW w:w="756" w:type="dxa"/>
          </w:tcPr>
          <w:p w14:paraId="5FB0BF26" w14:textId="77777777" w:rsidR="003B2F07" w:rsidRDefault="009E6C97">
            <w:pPr>
              <w:spacing w:after="0"/>
            </w:pPr>
            <w:r>
              <w:rPr>
                <w:b/>
              </w:rPr>
              <w:t>SD#</w:t>
            </w:r>
          </w:p>
        </w:tc>
        <w:tc>
          <w:tcPr>
            <w:tcW w:w="1710" w:type="dxa"/>
          </w:tcPr>
          <w:p w14:paraId="1AA1FEE8" w14:textId="77777777" w:rsidR="003B2F07" w:rsidRDefault="009E6C97">
            <w:pPr>
              <w:spacing w:after="0"/>
            </w:pPr>
            <w:r>
              <w:rPr>
                <w:b/>
              </w:rPr>
              <w:t>SEG#</w:t>
            </w:r>
          </w:p>
        </w:tc>
      </w:tr>
      <w:tr w:rsidR="003B2F07" w14:paraId="685BC674" w14:textId="77777777" w:rsidTr="009C29D8">
        <w:trPr>
          <w:cantSplit/>
        </w:trPr>
        <w:tc>
          <w:tcPr>
            <w:tcW w:w="7038" w:type="dxa"/>
          </w:tcPr>
          <w:p w14:paraId="0BF37FB4" w14:textId="77777777" w:rsidR="003B2F07" w:rsidRDefault="003B2F07">
            <w:pPr>
              <w:spacing w:after="0"/>
            </w:pPr>
          </w:p>
        </w:tc>
        <w:tc>
          <w:tcPr>
            <w:tcW w:w="756" w:type="dxa"/>
          </w:tcPr>
          <w:p w14:paraId="1776C8D3" w14:textId="77777777" w:rsidR="003B2F07" w:rsidRDefault="003B2F07">
            <w:pPr>
              <w:spacing w:after="0"/>
            </w:pPr>
          </w:p>
        </w:tc>
        <w:tc>
          <w:tcPr>
            <w:tcW w:w="1710" w:type="dxa"/>
          </w:tcPr>
          <w:p w14:paraId="4303157A" w14:textId="77777777" w:rsidR="003B2F07" w:rsidRDefault="003B2F07">
            <w:pPr>
              <w:spacing w:after="0"/>
            </w:pPr>
          </w:p>
        </w:tc>
      </w:tr>
      <w:tr w:rsidR="003B2F07" w14:paraId="34092668" w14:textId="77777777" w:rsidTr="009C29D8">
        <w:trPr>
          <w:cantSplit/>
        </w:trPr>
        <w:tc>
          <w:tcPr>
            <w:tcW w:w="7038" w:type="dxa"/>
          </w:tcPr>
          <w:p w14:paraId="23D947E1" w14:textId="77777777" w:rsidR="003B2F07" w:rsidRDefault="003B2F07">
            <w:pPr>
              <w:spacing w:after="0"/>
            </w:pPr>
          </w:p>
        </w:tc>
        <w:tc>
          <w:tcPr>
            <w:tcW w:w="756" w:type="dxa"/>
          </w:tcPr>
          <w:p w14:paraId="61A74041" w14:textId="77777777" w:rsidR="003B2F07" w:rsidRDefault="003B2F07">
            <w:pPr>
              <w:spacing w:after="0"/>
            </w:pPr>
          </w:p>
        </w:tc>
        <w:tc>
          <w:tcPr>
            <w:tcW w:w="1710" w:type="dxa"/>
          </w:tcPr>
          <w:p w14:paraId="6858DC52" w14:textId="77777777" w:rsidR="003B2F07" w:rsidRDefault="003B2F07">
            <w:pPr>
              <w:spacing w:after="0"/>
            </w:pPr>
          </w:p>
        </w:tc>
      </w:tr>
      <w:tr w:rsidR="003B2F07" w14:paraId="7CA3984F" w14:textId="77777777" w:rsidTr="009C29D8">
        <w:trPr>
          <w:cantSplit/>
        </w:trPr>
        <w:tc>
          <w:tcPr>
            <w:tcW w:w="7038" w:type="dxa"/>
          </w:tcPr>
          <w:p w14:paraId="5E133DD8" w14:textId="77777777" w:rsidR="003B2F07" w:rsidRDefault="003B2F07">
            <w:pPr>
              <w:spacing w:after="0"/>
            </w:pPr>
          </w:p>
        </w:tc>
        <w:tc>
          <w:tcPr>
            <w:tcW w:w="756" w:type="dxa"/>
          </w:tcPr>
          <w:p w14:paraId="23386E0C" w14:textId="77777777" w:rsidR="003B2F07" w:rsidRDefault="003B2F07">
            <w:pPr>
              <w:spacing w:after="0"/>
            </w:pPr>
          </w:p>
        </w:tc>
        <w:tc>
          <w:tcPr>
            <w:tcW w:w="1710" w:type="dxa"/>
          </w:tcPr>
          <w:p w14:paraId="46E28F63" w14:textId="77777777" w:rsidR="003B2F07" w:rsidRDefault="003B2F07">
            <w:pPr>
              <w:spacing w:after="0"/>
            </w:pPr>
          </w:p>
        </w:tc>
      </w:tr>
      <w:tr w:rsidR="003B2F07" w14:paraId="05C42701" w14:textId="77777777" w:rsidTr="009C29D8">
        <w:trPr>
          <w:cantSplit/>
        </w:trPr>
        <w:tc>
          <w:tcPr>
            <w:tcW w:w="7038" w:type="dxa"/>
          </w:tcPr>
          <w:p w14:paraId="2B171C9D" w14:textId="77777777" w:rsidR="003B2F07" w:rsidRDefault="003B2F07">
            <w:pPr>
              <w:spacing w:after="0"/>
            </w:pPr>
          </w:p>
        </w:tc>
        <w:tc>
          <w:tcPr>
            <w:tcW w:w="756" w:type="dxa"/>
          </w:tcPr>
          <w:p w14:paraId="30B18E13" w14:textId="77777777" w:rsidR="003B2F07" w:rsidRDefault="003B2F07">
            <w:pPr>
              <w:spacing w:after="0"/>
            </w:pPr>
          </w:p>
        </w:tc>
        <w:tc>
          <w:tcPr>
            <w:tcW w:w="1710" w:type="dxa"/>
          </w:tcPr>
          <w:p w14:paraId="26A43CFB" w14:textId="77777777" w:rsidR="003B2F07" w:rsidRDefault="003B2F07">
            <w:pPr>
              <w:spacing w:after="0"/>
            </w:pPr>
          </w:p>
        </w:tc>
      </w:tr>
      <w:tr w:rsidR="003B2F07" w14:paraId="114BCC98" w14:textId="77777777" w:rsidTr="009C29D8">
        <w:trPr>
          <w:cantSplit/>
        </w:trPr>
        <w:tc>
          <w:tcPr>
            <w:tcW w:w="7038" w:type="dxa"/>
          </w:tcPr>
          <w:p w14:paraId="5118FF38" w14:textId="77777777" w:rsidR="003B2F07" w:rsidRDefault="003B2F07">
            <w:pPr>
              <w:spacing w:after="0"/>
            </w:pPr>
          </w:p>
        </w:tc>
        <w:tc>
          <w:tcPr>
            <w:tcW w:w="756" w:type="dxa"/>
          </w:tcPr>
          <w:p w14:paraId="4703E77A" w14:textId="77777777" w:rsidR="003B2F07" w:rsidRDefault="003B2F07">
            <w:pPr>
              <w:spacing w:after="0"/>
            </w:pPr>
          </w:p>
        </w:tc>
        <w:tc>
          <w:tcPr>
            <w:tcW w:w="1710" w:type="dxa"/>
          </w:tcPr>
          <w:p w14:paraId="7BD40EE1" w14:textId="77777777" w:rsidR="003B2F07" w:rsidRDefault="003B2F07">
            <w:pPr>
              <w:spacing w:after="0"/>
            </w:pPr>
          </w:p>
        </w:tc>
      </w:tr>
    </w:tbl>
    <w:p w14:paraId="23F4AAA1" w14:textId="77777777" w:rsidR="003B2F07" w:rsidRDefault="003B2F07"/>
    <w:p w14:paraId="7C4299EF" w14:textId="77777777" w:rsidR="003B2F07" w:rsidRDefault="009E6C97">
      <w:pPr>
        <w:pStyle w:val="Heading2"/>
      </w:pPr>
      <w:r>
        <w:t>College Mission, Vision, and Values</w:t>
      </w:r>
    </w:p>
    <w:p w14:paraId="22184F8D" w14:textId="77777777" w:rsidR="003B2F07" w:rsidRDefault="009E6C97">
      <w:pPr>
        <w:pStyle w:val="Heading3"/>
      </w:pPr>
      <w:r>
        <w:t>Mission Statement</w:t>
      </w:r>
    </w:p>
    <w:p w14:paraId="19B09317" w14:textId="77777777" w:rsidR="003B2F07" w:rsidRDefault="009E6C97">
      <w:r>
        <w:t>The Crafton Hills College mission is to change lives. We seek to inspire our students, support our colleagues, and embrace our community through a learning environment that is transformational. Crafton Hills College welcomes everyone and is committed to working with students from diverse backgrounds. The College has an exceptional learning environment built on a tradition of excellence, a talented faculty, a driven student body, a committed staff, with passionate leadership and community support.</w:t>
      </w:r>
    </w:p>
    <w:p w14:paraId="26079C0B" w14:textId="77777777" w:rsidR="003B2F07" w:rsidRDefault="009E6C97">
      <w:pPr>
        <w:pStyle w:val="Heading3"/>
      </w:pPr>
      <w:r>
        <w:t>Vision Statement</w:t>
      </w:r>
    </w:p>
    <w:p w14:paraId="0CFA1ECD" w14:textId="77777777" w:rsidR="003B2F07" w:rsidRDefault="009E6C97">
      <w:r>
        <w:t>To empower the people who study here, the people who work here, and the people who live in our community through education, engagement, and innovation.</w:t>
      </w:r>
    </w:p>
    <w:p w14:paraId="727C58EA" w14:textId="77777777" w:rsidR="003B2F07" w:rsidRDefault="009E6C97">
      <w:pPr>
        <w:pStyle w:val="Heading3"/>
      </w:pPr>
      <w:r>
        <w:t>Institutional Values</w:t>
      </w:r>
    </w:p>
    <w:p w14:paraId="276BFCEC" w14:textId="77777777" w:rsidR="003B2F07" w:rsidRDefault="009E6C97">
      <w:pPr>
        <w:pStyle w:val="ListBullet"/>
      </w:pPr>
      <w:r>
        <w:rPr>
          <w:b/>
        </w:rPr>
        <w:t xml:space="preserve">Respect: </w:t>
      </w:r>
      <w:r>
        <w:t>To champion active listening and open dialogue within our community.</w:t>
      </w:r>
    </w:p>
    <w:p w14:paraId="74D2C392" w14:textId="77777777" w:rsidR="003B2F07" w:rsidRDefault="009E6C97">
      <w:pPr>
        <w:pStyle w:val="ListBullet"/>
      </w:pPr>
      <w:r>
        <w:rPr>
          <w:b/>
        </w:rPr>
        <w:lastRenderedPageBreak/>
        <w:t xml:space="preserve">Integrity: </w:t>
      </w:r>
      <w:r>
        <w:t>To uphold honesty in our interactions and academic pursuits and maintain community collaboration.</w:t>
      </w:r>
    </w:p>
    <w:p w14:paraId="54A5B013" w14:textId="77777777" w:rsidR="003B2F07" w:rsidRDefault="009E6C97">
      <w:pPr>
        <w:pStyle w:val="ListBullet"/>
      </w:pPr>
      <w:r>
        <w:rPr>
          <w:b/>
        </w:rPr>
        <w:t xml:space="preserve">Diversity &amp; Inclusion: </w:t>
      </w:r>
      <w:r>
        <w:t>To promote a welcoming environment through equitable and antiracist practices in all aspects of our work.</w:t>
      </w:r>
    </w:p>
    <w:p w14:paraId="7360A270" w14:textId="77777777" w:rsidR="003B2F07" w:rsidRDefault="009E6C97">
      <w:pPr>
        <w:pStyle w:val="ListBullet"/>
      </w:pPr>
      <w:r>
        <w:rPr>
          <w:b/>
        </w:rPr>
        <w:t xml:space="preserve">Innovation: </w:t>
      </w:r>
      <w:r>
        <w:t>To actively grow and adapt to support our mission and vision through a willingness to embrace new perspectives and new ideas.</w:t>
      </w:r>
    </w:p>
    <w:p w14:paraId="5D44A536" w14:textId="77777777" w:rsidR="003B2F07" w:rsidRDefault="009E6C97">
      <w:pPr>
        <w:pStyle w:val="ListBullet"/>
      </w:pPr>
      <w:r>
        <w:rPr>
          <w:b/>
        </w:rPr>
        <w:t xml:space="preserve">Leadership: </w:t>
      </w:r>
      <w:r>
        <w:t>To develop and inspire current and future leaders through professional development, mentorship, education, and experience.</w:t>
      </w:r>
    </w:p>
    <w:p w14:paraId="2D82F2A4" w14:textId="77777777" w:rsidR="003B2F07" w:rsidRDefault="009E6C97">
      <w:pPr>
        <w:pStyle w:val="ListBullet"/>
      </w:pPr>
      <w:r>
        <w:rPr>
          <w:b/>
        </w:rPr>
        <w:t xml:space="preserve">Sustainability: </w:t>
      </w:r>
      <w:r>
        <w:t>To be a leader in our community by reducing environmental impact with practices that meet the needs of the present without compromising the future.</w:t>
      </w:r>
    </w:p>
    <w:p w14:paraId="13A3583F" w14:textId="77777777" w:rsidR="003B2F07" w:rsidRDefault="009E6C97">
      <w:pPr>
        <w:pStyle w:val="Heading2"/>
      </w:pPr>
      <w:r>
        <w:t>Strategic Directions</w:t>
      </w:r>
    </w:p>
    <w:p w14:paraId="7C7D141E" w14:textId="77777777" w:rsidR="003B2F07" w:rsidRDefault="009E6C97">
      <w:pPr>
        <w:pStyle w:val="ListNumber"/>
      </w:pPr>
      <w:r>
        <w:t>Increase Student Enrollment</w:t>
      </w:r>
    </w:p>
    <w:p w14:paraId="6579BBAE" w14:textId="77777777" w:rsidR="003B2F07" w:rsidRDefault="009E6C97">
      <w:pPr>
        <w:pStyle w:val="ListNumber"/>
      </w:pPr>
      <w:r>
        <w:t>Engage in Practices that Prioritize and Promote Inclusivity, Equity, Anti-Racism, and Human Sustainability</w:t>
      </w:r>
    </w:p>
    <w:p w14:paraId="0A21FAED" w14:textId="77777777" w:rsidR="003B2F07" w:rsidRDefault="009E6C97">
      <w:pPr>
        <w:pStyle w:val="ListNumber"/>
      </w:pPr>
      <w:r>
        <w:t>Increase Student Success and Equity</w:t>
      </w:r>
    </w:p>
    <w:p w14:paraId="54A3FB1C" w14:textId="77777777" w:rsidR="003B2F07" w:rsidRDefault="009E6C97">
      <w:pPr>
        <w:pStyle w:val="ListNumber"/>
      </w:pPr>
      <w:r>
        <w:t>Develop a Campus Culture that Engages Students, Employees, and the Broader Community</w:t>
      </w:r>
    </w:p>
    <w:p w14:paraId="31E55709" w14:textId="77777777" w:rsidR="003B2F07" w:rsidRDefault="009E6C97">
      <w:pPr>
        <w:pStyle w:val="ListNumber"/>
      </w:pPr>
      <w:r>
        <w:t>Foster and Support Inquiry, Accountability, and Campus Sustainability</w:t>
      </w:r>
    </w:p>
    <w:p w14:paraId="4648C365" w14:textId="77777777" w:rsidR="003B2F07" w:rsidRDefault="009E6C97">
      <w:pPr>
        <w:pStyle w:val="Heading2"/>
      </w:pPr>
      <w:r>
        <w:t>Student Equity Goals</w:t>
      </w:r>
    </w:p>
    <w:p w14:paraId="707CCC56" w14:textId="77777777" w:rsidR="003B2F07" w:rsidRDefault="009E6C97">
      <w:pPr>
        <w:pStyle w:val="ListNumber2"/>
      </w:pPr>
      <w:r>
        <w:t>Increase the percentage of African American/Black students who apply and enroll at CHC in the same year.</w:t>
      </w:r>
    </w:p>
    <w:p w14:paraId="7EB7E67D" w14:textId="77777777" w:rsidR="003B2F07" w:rsidRDefault="009E6C97">
      <w:pPr>
        <w:pStyle w:val="ListNumber2"/>
      </w:pPr>
      <w:r>
        <w:t>Increase the percentage of African American/Black students persisting from fall to spring.</w:t>
      </w:r>
    </w:p>
    <w:p w14:paraId="7012554C" w14:textId="77777777" w:rsidR="003B2F07" w:rsidRDefault="009E6C97">
      <w:pPr>
        <w:pStyle w:val="ListNumber2"/>
      </w:pPr>
      <w:r>
        <w:t>Increase the percentage of Hispanic/Latinx students completing transfer level Math and English.</w:t>
      </w:r>
    </w:p>
    <w:p w14:paraId="0A5F499C" w14:textId="77777777" w:rsidR="003B2F07" w:rsidRDefault="009E6C97">
      <w:pPr>
        <w:pStyle w:val="ListNumber2"/>
      </w:pPr>
      <w:r>
        <w:t>Increase the percentage of African American/Black students’ degree or certificate attainment.</w:t>
      </w:r>
    </w:p>
    <w:p w14:paraId="0497A909" w14:textId="77777777" w:rsidR="003B2F07" w:rsidRDefault="009E6C97">
      <w:pPr>
        <w:pStyle w:val="ListNumber2"/>
      </w:pPr>
      <w:r>
        <w:t>Increase the percentage of Hispanic/Latinx students transferring to a four-year institution.</w:t>
      </w:r>
    </w:p>
    <w:p w14:paraId="493C7D0F" w14:textId="77777777" w:rsidR="003B2F07" w:rsidRDefault="009E6C97">
      <w:pPr>
        <w:pStyle w:val="Heading2"/>
      </w:pPr>
      <w:r>
        <w:t>Enrollment Strategies Committee Charge</w:t>
      </w:r>
    </w:p>
    <w:p w14:paraId="30968A88" w14:textId="77777777" w:rsidR="003B2F07" w:rsidRDefault="009E6C97">
      <w:r>
        <w:t>The Enrollment Strategies Committee primary focus is to sustain long-term student success and access by:</w:t>
      </w:r>
    </w:p>
    <w:p w14:paraId="1A4D5455" w14:textId="77777777" w:rsidR="003B2F07" w:rsidRDefault="009E6C97">
      <w:pPr>
        <w:pStyle w:val="ListBullet"/>
      </w:pPr>
      <w:r>
        <w:t>Using qualitative and quantitative data to inform recommendations.</w:t>
      </w:r>
    </w:p>
    <w:p w14:paraId="23A8FAF3" w14:textId="77777777" w:rsidR="003B2F07" w:rsidRDefault="009E6C97">
      <w:pPr>
        <w:pStyle w:val="ListBullet"/>
      </w:pPr>
      <w:r>
        <w:t>Evaluating on-going enrollment trends, activities, and initiatives.</w:t>
      </w:r>
    </w:p>
    <w:p w14:paraId="24B00D5A" w14:textId="77777777" w:rsidR="003B2F07" w:rsidRDefault="009E6C97">
      <w:pPr>
        <w:pStyle w:val="ListBullet"/>
      </w:pPr>
      <w:r>
        <w:t>Initiating research on scheduling at the department and division levels.</w:t>
      </w:r>
    </w:p>
    <w:p w14:paraId="10FCFDB4" w14:textId="77777777" w:rsidR="003B2F07" w:rsidRDefault="009E6C97">
      <w:pPr>
        <w:pStyle w:val="ListBullet"/>
      </w:pPr>
      <w:r>
        <w:lastRenderedPageBreak/>
        <w:t>Developing, reviewing, and monitoring progress toward strategic enrollment planning goals.</w:t>
      </w:r>
    </w:p>
    <w:p w14:paraId="549DAB38" w14:textId="77777777" w:rsidR="003B2F07" w:rsidRDefault="009E6C97">
      <w:pPr>
        <w:pStyle w:val="ListBullet"/>
      </w:pPr>
      <w:r>
        <w:t>Supporting the development and implementation of guided pathways.</w:t>
      </w:r>
    </w:p>
    <w:p w14:paraId="3FBE7276" w14:textId="77777777" w:rsidR="003B2F07" w:rsidRDefault="009E6C97">
      <w:pPr>
        <w:pStyle w:val="ListBullet"/>
      </w:pPr>
      <w:r>
        <w:t>Assessing, evaluating, and making recommendations for student support strategies to enhance student access, success, persistence, and goal attainment.</w:t>
      </w:r>
    </w:p>
    <w:p w14:paraId="083A0105" w14:textId="77777777" w:rsidR="003B2F07" w:rsidRDefault="009E6C97">
      <w:pPr>
        <w:pStyle w:val="ListBullet"/>
      </w:pPr>
      <w:r>
        <w:t>Supporting equity and inclusion in our decision-making.</w:t>
      </w:r>
    </w:p>
    <w:p w14:paraId="3445E2BA" w14:textId="77777777" w:rsidR="003B2F07" w:rsidRDefault="009E6C97">
      <w:pPr>
        <w:pStyle w:val="Heading2"/>
      </w:pPr>
      <w:r>
        <w:t>Enrollment Strategies Committee Membership</w:t>
      </w:r>
    </w:p>
    <w:p w14:paraId="7817BF1A" w14:textId="77777777" w:rsidR="003B2F07" w:rsidRDefault="009E6C97">
      <w:pPr>
        <w:pStyle w:val="ListBullet"/>
      </w:pPr>
      <w:r>
        <w:t>Up to 6 Managers (to be determined)</w:t>
      </w:r>
    </w:p>
    <w:p w14:paraId="420B37DD" w14:textId="77777777" w:rsidR="003B2F07" w:rsidRDefault="009E6C97">
      <w:pPr>
        <w:pStyle w:val="ListBullet"/>
      </w:pPr>
      <w:r>
        <w:t>Up to 6 Faculty (appointed by Academic Senate; recommending at least one or more from each division)</w:t>
      </w:r>
    </w:p>
    <w:p w14:paraId="436AF705" w14:textId="77777777" w:rsidR="003B2F07" w:rsidRDefault="009E6C97">
      <w:pPr>
        <w:pStyle w:val="ListBullet"/>
      </w:pPr>
      <w:r>
        <w:t>Up to 6 Classified Staff (three appointed by CSEA; three appointed by Classified Senate)</w:t>
      </w:r>
    </w:p>
    <w:p w14:paraId="79935D92" w14:textId="77777777" w:rsidR="003B2F07" w:rsidRDefault="009E6C97">
      <w:pPr>
        <w:pStyle w:val="ListBullet"/>
      </w:pPr>
      <w:r>
        <w:t>Up to 6 Students (appointed by Student Senate)</w:t>
      </w:r>
    </w:p>
    <w:p w14:paraId="25799351" w14:textId="77777777" w:rsidR="003B2F07" w:rsidRDefault="009E6C97">
      <w:pPr>
        <w:pStyle w:val="Heading2"/>
      </w:pPr>
      <w:r>
        <w:t>Enrollment Strategies Committee Norms (2025-2026)</w:t>
      </w:r>
    </w:p>
    <w:p w14:paraId="441545D8" w14:textId="77777777" w:rsidR="003B2F07" w:rsidRDefault="009E6C97">
      <w:pPr>
        <w:pStyle w:val="ListBullet"/>
      </w:pPr>
      <w:r>
        <w:t>We will start and end meetings on time.</w:t>
      </w:r>
    </w:p>
    <w:p w14:paraId="7F254AE1" w14:textId="77777777" w:rsidR="003B2F07" w:rsidRDefault="009E6C97">
      <w:pPr>
        <w:pStyle w:val="ListBullet"/>
      </w:pPr>
      <w:r>
        <w:t>We will follow the agenda.</w:t>
      </w:r>
    </w:p>
    <w:p w14:paraId="54B68AA7" w14:textId="77777777" w:rsidR="003B2F07" w:rsidRDefault="009E6C97">
      <w:pPr>
        <w:pStyle w:val="ListBullet"/>
      </w:pPr>
      <w:r>
        <w:t>We will read materials, minutes, etc. and be prepared to discuss at meetings.</w:t>
      </w:r>
    </w:p>
    <w:p w14:paraId="79F21EAD" w14:textId="77777777" w:rsidR="003B2F07" w:rsidRDefault="009E6C97">
      <w:pPr>
        <w:pStyle w:val="ListBullet"/>
      </w:pPr>
      <w:r>
        <w:t>We will listen to our colleagues without interruption and will show mutual respect.</w:t>
      </w:r>
    </w:p>
    <w:p w14:paraId="588FD645" w14:textId="77777777" w:rsidR="003B2F07" w:rsidRDefault="009E6C97">
      <w:pPr>
        <w:pStyle w:val="ListBullet"/>
      </w:pPr>
      <w:r>
        <w:t>We will operate on consensus and seek agreements all can “live with;”</w:t>
      </w:r>
    </w:p>
    <w:p w14:paraId="211C05FC" w14:textId="77777777" w:rsidR="003B2F07" w:rsidRDefault="009E6C97">
      <w:pPr>
        <w:pStyle w:val="ListBullet"/>
      </w:pPr>
      <w:r>
        <w:t>We will make decisions based on clear information.</w:t>
      </w:r>
    </w:p>
    <w:p w14:paraId="4B1E641F" w14:textId="77777777" w:rsidR="003B2F07" w:rsidRDefault="009E6C97">
      <w:pPr>
        <w:pStyle w:val="ListBullet"/>
      </w:pPr>
      <w:r>
        <w:t>We will bring closure to decisions.</w:t>
      </w:r>
    </w:p>
    <w:p w14:paraId="67F3CF5A" w14:textId="77777777" w:rsidR="003B2F07" w:rsidRDefault="009E6C97">
      <w:pPr>
        <w:pStyle w:val="ListBullet"/>
      </w:pPr>
      <w:r>
        <w:t>We will support committee recommendations.</w:t>
      </w:r>
    </w:p>
    <w:p w14:paraId="0F66A496" w14:textId="77777777" w:rsidR="003B2F07" w:rsidRDefault="009E6C97">
      <w:pPr>
        <w:pStyle w:val="ListBullet"/>
      </w:pPr>
      <w:r>
        <w:t>We will accept the fact that there will be differing opinions.</w:t>
      </w:r>
    </w:p>
    <w:p w14:paraId="6FC4CFC1" w14:textId="77777777" w:rsidR="003B2F07" w:rsidRDefault="009E6C97">
      <w:pPr>
        <w:pStyle w:val="ListBullet"/>
      </w:pPr>
      <w:r>
        <w:t>We will use the best interest of our stakeholders (especially students) as the basis for our decision making.</w:t>
      </w:r>
    </w:p>
    <w:p w14:paraId="6C6300F8" w14:textId="77777777" w:rsidR="003B2F07" w:rsidRDefault="009E6C97">
      <w:pPr>
        <w:pStyle w:val="ListBullet"/>
      </w:pPr>
      <w:r>
        <w:t>We will honor brainstorming without being attached to our viewpoint.</w:t>
      </w:r>
    </w:p>
    <w:p w14:paraId="2D290CA0" w14:textId="77777777" w:rsidR="003B2F07" w:rsidRDefault="009E6C97">
      <w:pPr>
        <w:pStyle w:val="ListBullet"/>
      </w:pPr>
      <w:r>
        <w:t>We will give the opportunity for all members to contribute.</w:t>
      </w:r>
    </w:p>
    <w:p w14:paraId="1AD62A92" w14:textId="77777777" w:rsidR="003B2F07" w:rsidRDefault="009E6C97">
      <w:pPr>
        <w:pStyle w:val="ListBullet"/>
      </w:pPr>
      <w:r>
        <w:t>We will be free to speak our minds without fear of reprisal.</w:t>
      </w:r>
    </w:p>
    <w:p w14:paraId="252BF1B7" w14:textId="77777777" w:rsidR="003B2F07" w:rsidRDefault="009E6C97">
      <w:pPr>
        <w:pStyle w:val="ListBullet"/>
      </w:pPr>
      <w:r>
        <w:t>We will be transparent with our colleagues and our positions on issues.</w:t>
      </w:r>
    </w:p>
    <w:p w14:paraId="21E4C8AF" w14:textId="77777777" w:rsidR="003B2F07" w:rsidRDefault="009E6C97">
      <w:pPr>
        <w:pStyle w:val="ListBullet"/>
      </w:pPr>
      <w:r>
        <w:t>We will identify pending issues, agreements, and action steps at the end of the meetings.</w:t>
      </w:r>
    </w:p>
    <w:p w14:paraId="60F394D3" w14:textId="77777777" w:rsidR="003B2F07" w:rsidRDefault="009E6C97">
      <w:pPr>
        <w:pStyle w:val="ListBullet"/>
      </w:pPr>
      <w:r>
        <w:t>We will stay focused on topics under the charge of the committee</w:t>
      </w:r>
    </w:p>
    <w:p w14:paraId="7BA145C7" w14:textId="77777777" w:rsidR="003B2F07" w:rsidRDefault="009E6C97">
      <w:pPr>
        <w:pStyle w:val="ListBullet"/>
      </w:pPr>
      <w:r>
        <w:t>We will report back to and seek input from constituents</w:t>
      </w:r>
    </w:p>
    <w:p w14:paraId="74FEEF68" w14:textId="77777777" w:rsidR="003B2F07" w:rsidRDefault="009E6C97">
      <w:pPr>
        <w:pStyle w:val="ListBullet"/>
      </w:pPr>
      <w:r>
        <w:t>We will work to support equity and inclusion in our decision-making</w:t>
      </w:r>
    </w:p>
    <w:p w14:paraId="28717DCC" w14:textId="77777777" w:rsidR="002D4278" w:rsidRDefault="002D4278" w:rsidP="002D4278">
      <w:pPr>
        <w:pStyle w:val="ListBullet"/>
        <w:numPr>
          <w:ilvl w:val="0"/>
          <w:numId w:val="0"/>
        </w:numPr>
        <w:ind w:left="360" w:hanging="360"/>
      </w:pPr>
    </w:p>
    <w:p w14:paraId="24F3CE5B" w14:textId="77777777" w:rsidR="002D4278" w:rsidRDefault="002D4278" w:rsidP="002D4278">
      <w:pPr>
        <w:pStyle w:val="ListBullet"/>
        <w:numPr>
          <w:ilvl w:val="0"/>
          <w:numId w:val="0"/>
        </w:numPr>
      </w:pPr>
      <w:r w:rsidRPr="00AC405F">
        <w:rPr>
          <w:rFonts w:asciiTheme="majorHAnsi" w:eastAsiaTheme="majorEastAsia" w:hAnsiTheme="majorHAnsi" w:cstheme="majorBidi"/>
          <w:b/>
          <w:bCs/>
          <w:color w:val="000000"/>
          <w:sz w:val="28"/>
          <w:szCs w:val="26"/>
        </w:rPr>
        <w:t>To export your Word document to an accessible PDF</w:t>
      </w:r>
    </w:p>
    <w:p w14:paraId="38404B55" w14:textId="77777777" w:rsidR="002D4278" w:rsidRDefault="002D4278" w:rsidP="002D4278">
      <w:pPr>
        <w:pStyle w:val="ListBullet"/>
        <w:numPr>
          <w:ilvl w:val="0"/>
          <w:numId w:val="10"/>
        </w:numPr>
      </w:pPr>
      <w:r>
        <w:t>Start by clicking the “File” menu toward the top left corner.</w:t>
      </w:r>
    </w:p>
    <w:p w14:paraId="1596C04B" w14:textId="77777777" w:rsidR="002D4278" w:rsidRDefault="002D4278" w:rsidP="002D4278">
      <w:pPr>
        <w:pStyle w:val="ListBullet"/>
        <w:numPr>
          <w:ilvl w:val="0"/>
          <w:numId w:val="10"/>
        </w:numPr>
      </w:pPr>
      <w:r>
        <w:lastRenderedPageBreak/>
        <w:t>Select "Save As" from the left-side menu</w:t>
      </w:r>
    </w:p>
    <w:p w14:paraId="535BAA80" w14:textId="77777777" w:rsidR="002D4278" w:rsidRDefault="002D4278" w:rsidP="002D4278">
      <w:pPr>
        <w:pStyle w:val="ListBullet"/>
        <w:numPr>
          <w:ilvl w:val="0"/>
          <w:numId w:val="10"/>
        </w:numPr>
      </w:pPr>
      <w:r>
        <w:t>Click the file extension/type drop-down menu and choose "PDF (*.pdf)."  Then,</w:t>
      </w:r>
    </w:p>
    <w:p w14:paraId="7EA8E59C" w14:textId="77777777" w:rsidR="002D4278" w:rsidRDefault="002D4278" w:rsidP="002D4278">
      <w:pPr>
        <w:pStyle w:val="ListBullet"/>
        <w:numPr>
          <w:ilvl w:val="0"/>
          <w:numId w:val="10"/>
        </w:numPr>
      </w:pPr>
      <w:r>
        <w:t>Select the "More options..." blue link just below the drop-down menu.  When the "Save As" window appears,</w:t>
      </w:r>
    </w:p>
    <w:p w14:paraId="307D8E34" w14:textId="77777777" w:rsidR="002D4278" w:rsidRDefault="002D4278" w:rsidP="002D4278">
      <w:pPr>
        <w:pStyle w:val="ListBullet"/>
        <w:numPr>
          <w:ilvl w:val="0"/>
          <w:numId w:val="10"/>
        </w:numPr>
      </w:pPr>
      <w:r>
        <w:t xml:space="preserve">Select the "Options" button at the bottom of that window.  This will pop up one more small window for your PDF "Options." </w:t>
      </w:r>
    </w:p>
    <w:p w14:paraId="5BC53688" w14:textId="77777777" w:rsidR="002D4278" w:rsidRDefault="002D4278" w:rsidP="002D4278">
      <w:pPr>
        <w:pStyle w:val="ListBullet"/>
        <w:numPr>
          <w:ilvl w:val="0"/>
          <w:numId w:val="10"/>
        </w:numPr>
      </w:pPr>
      <w:r>
        <w:t>Here, you want ensure that "Create bookmarks using:" is checked if you have headings or bookmarks of any kind in your document (recommended for longer documents of 10 pages or more), "Document properties" is checked, and "Document structure tags for accessibility" is also checked.</w:t>
      </w:r>
    </w:p>
    <w:p w14:paraId="37C9F0D9" w14:textId="77777777" w:rsidR="002D4278" w:rsidRDefault="002D4278" w:rsidP="002D4278">
      <w:pPr>
        <w:pStyle w:val="ListBullet"/>
        <w:numPr>
          <w:ilvl w:val="0"/>
          <w:numId w:val="10"/>
        </w:numPr>
      </w:pPr>
      <w:r>
        <w:t>Lastly, select the "Okay" button in the Options window, and finish by selecting the "Save" button in the Save As window.</w:t>
      </w:r>
    </w:p>
    <w:p w14:paraId="73335C65" w14:textId="71D572B7" w:rsidR="003B2F07" w:rsidRDefault="009E6C97">
      <w:pPr>
        <w:pStyle w:val="Heading2"/>
      </w:pPr>
      <w:r>
        <w:t>Accessibility checklist for editors</w:t>
      </w:r>
    </w:p>
    <w:p w14:paraId="146C7306" w14:textId="77777777" w:rsidR="003B2F07" w:rsidRDefault="009E6C97">
      <w:pPr>
        <w:pStyle w:val="ListBullet"/>
      </w:pPr>
      <w:r>
        <w:t>Use built-in heading styles (Heading 1, Heading 2, etc.) instead of manually bolding/underlining.</w:t>
      </w:r>
    </w:p>
    <w:p w14:paraId="1F85690D" w14:textId="77777777" w:rsidR="003B2F07" w:rsidRDefault="009E6C97">
      <w:pPr>
        <w:pStyle w:val="ListBullet"/>
      </w:pPr>
      <w:r>
        <w:t>Write full words the first time you use an acronym; avoid unexplained abbreviations.</w:t>
      </w:r>
    </w:p>
    <w:p w14:paraId="5C1BD038" w14:textId="77777777" w:rsidR="003B2F07" w:rsidRDefault="009E6C97">
      <w:pPr>
        <w:pStyle w:val="ListBullet"/>
      </w:pPr>
      <w:r>
        <w:t>Use tables only for data; include a clear header row; avoid merged cells where possible.</w:t>
      </w:r>
    </w:p>
    <w:p w14:paraId="320FCC89" w14:textId="77777777" w:rsidR="003B2F07" w:rsidRDefault="009E6C97">
      <w:pPr>
        <w:pStyle w:val="ListBullet"/>
      </w:pPr>
      <w:r>
        <w:t>If you add links, use descriptive link text (not “click here”).</w:t>
      </w:r>
    </w:p>
    <w:p w14:paraId="23267598" w14:textId="77777777" w:rsidR="003B2F07" w:rsidRDefault="009E6C97">
      <w:pPr>
        <w:pStyle w:val="ListBullet"/>
      </w:pPr>
      <w:r>
        <w:t>If you add images, charts, or logos, include concise alt text and ensure information is not conveyed by color alone.</w:t>
      </w:r>
    </w:p>
    <w:p w14:paraId="157A092F" w14:textId="77777777" w:rsidR="003B2F07" w:rsidRDefault="009E6C97">
      <w:pPr>
        <w:pStyle w:val="ListBullet"/>
      </w:pPr>
      <w:r>
        <w:t>Exporting to PDF: use “Save As PDF” (not print-to-PDF) and verify that text is selectable and headings/tags are preserved.</w:t>
      </w:r>
    </w:p>
    <w:sectPr w:rsidR="003B2F07"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5C4B" w14:textId="77777777" w:rsidR="007C41E8" w:rsidRDefault="007C41E8" w:rsidP="009E6C97">
      <w:pPr>
        <w:spacing w:after="0" w:line="240" w:lineRule="auto"/>
      </w:pPr>
      <w:r>
        <w:separator/>
      </w:r>
    </w:p>
  </w:endnote>
  <w:endnote w:type="continuationSeparator" w:id="0">
    <w:p w14:paraId="0FA96D1C" w14:textId="77777777" w:rsidR="007C41E8" w:rsidRDefault="007C41E8" w:rsidP="009E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10D2" w14:textId="77777777" w:rsidR="009E6C97" w:rsidRDefault="009E6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6C5A" w14:textId="77777777" w:rsidR="009E6C97" w:rsidRDefault="009E6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7056" w14:textId="77777777" w:rsidR="009E6C97" w:rsidRDefault="009E6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FD1D" w14:textId="77777777" w:rsidR="007C41E8" w:rsidRDefault="007C41E8" w:rsidP="009E6C97">
      <w:pPr>
        <w:spacing w:after="0" w:line="240" w:lineRule="auto"/>
      </w:pPr>
      <w:r>
        <w:separator/>
      </w:r>
    </w:p>
  </w:footnote>
  <w:footnote w:type="continuationSeparator" w:id="0">
    <w:p w14:paraId="6DA0F2EF" w14:textId="77777777" w:rsidR="007C41E8" w:rsidRDefault="007C41E8" w:rsidP="009E6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AF62" w14:textId="77777777" w:rsidR="009E6C97" w:rsidRDefault="009E6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BE5F" w14:textId="620D5886" w:rsidR="009E6C97" w:rsidRDefault="009E6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950C" w14:textId="77777777" w:rsidR="009E6C97" w:rsidRDefault="009E6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AD6708"/>
    <w:multiLevelType w:val="hybridMultilevel"/>
    <w:tmpl w:val="5478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840311">
    <w:abstractNumId w:val="8"/>
  </w:num>
  <w:num w:numId="2" w16cid:durableId="1793400587">
    <w:abstractNumId w:val="6"/>
  </w:num>
  <w:num w:numId="3" w16cid:durableId="2059351399">
    <w:abstractNumId w:val="5"/>
  </w:num>
  <w:num w:numId="4" w16cid:durableId="1365055194">
    <w:abstractNumId w:val="4"/>
  </w:num>
  <w:num w:numId="5" w16cid:durableId="38365127">
    <w:abstractNumId w:val="7"/>
  </w:num>
  <w:num w:numId="6" w16cid:durableId="385420264">
    <w:abstractNumId w:val="3"/>
  </w:num>
  <w:num w:numId="7" w16cid:durableId="1756050920">
    <w:abstractNumId w:val="2"/>
  </w:num>
  <w:num w:numId="8" w16cid:durableId="741831009">
    <w:abstractNumId w:val="1"/>
  </w:num>
  <w:num w:numId="9" w16cid:durableId="420377189">
    <w:abstractNumId w:val="0"/>
  </w:num>
  <w:num w:numId="10" w16cid:durableId="1227573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4278"/>
    <w:rsid w:val="00326F90"/>
    <w:rsid w:val="003B2F07"/>
    <w:rsid w:val="004A4F47"/>
    <w:rsid w:val="007C41E8"/>
    <w:rsid w:val="009C29D8"/>
    <w:rsid w:val="009E6C97"/>
    <w:rsid w:val="00AA1D8D"/>
    <w:rsid w:val="00AC405F"/>
    <w:rsid w:val="00AE798D"/>
    <w:rsid w:val="00B30A75"/>
    <w:rsid w:val="00B47730"/>
    <w:rsid w:val="00B83A3D"/>
    <w:rsid w:val="00CB0664"/>
    <w:rsid w:val="00CC2E63"/>
    <w:rsid w:val="00D306B2"/>
    <w:rsid w:val="00F75A2B"/>
    <w:rsid w:val="00FC693F"/>
    <w:rsid w:val="00FD0EBE"/>
    <w:rsid w:val="00FF4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909A94"/>
  <w14:defaultImageDpi w14:val="300"/>
  <w15:docId w15:val="{5C9C1FDD-360C-47F3-BC2D-5E172B36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000000"/>
      <w:sz w:val="40"/>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4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729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c6e17ab0-d9c7-43e4-b85d-f29d7eca34a3}" enabled="1" method="Standard" siteId="{f6bb5689-1cd5-404a-b451-f35991b30e09}"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Strategies Committee Agenda (Accessible Template)</dc:title>
  <dc:subject>Accessible agenda template (Title II / WCAG 2.1 AA-oriented)</dc:subject>
  <dc:creator>Generated by ChatGPT</dc:creator>
  <cp:keywords/>
  <dc:description>Structured with headings, lists, and table headers to support assistive technology.</dc:description>
  <cp:lastModifiedBy>Wurtz, Keith A.</cp:lastModifiedBy>
  <cp:revision>12</cp:revision>
  <dcterms:created xsi:type="dcterms:W3CDTF">2026-02-03T20:35:00Z</dcterms:created>
  <dcterms:modified xsi:type="dcterms:W3CDTF">2026-04-07T17:37:00Z</dcterms:modified>
  <cp:category/>
</cp:coreProperties>
</file>