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9" w:rsidRDefault="00EA52E9" w:rsidP="00EA52E9">
      <w:pPr>
        <w:pStyle w:val="Title"/>
      </w:pPr>
      <w:r>
        <w:t>Spring 2018 Campus Priorities</w:t>
      </w:r>
    </w:p>
    <w:p w:rsidR="00EA52E9" w:rsidRPr="00EA52E9" w:rsidRDefault="00EA52E9" w:rsidP="00EA52E9">
      <w:pPr>
        <w:rPr>
          <w:rFonts w:asciiTheme="minorHAnsi" w:hAnsiTheme="minorHAnsi"/>
        </w:rPr>
      </w:pPr>
    </w:p>
    <w:p w:rsidR="00EA52E9" w:rsidRPr="00EA52E9" w:rsidRDefault="00EA52E9" w:rsidP="00EA52E9">
      <w:pPr>
        <w:rPr>
          <w:rFonts w:asciiTheme="minorHAnsi" w:hAnsiTheme="minorHAnsi"/>
        </w:rPr>
      </w:pPr>
      <w:r w:rsidRPr="00EA52E9">
        <w:rPr>
          <w:rFonts w:asciiTheme="minorHAnsi" w:hAnsiTheme="minorHAnsi"/>
        </w:rPr>
        <w:t>The Educational Master Plan (EMP) Committee and Crafton Council identified</w:t>
      </w:r>
      <w:r w:rsidRPr="00EA52E9">
        <w:rPr>
          <w:rFonts w:asciiTheme="minorHAnsi" w:hAnsiTheme="minorHAnsi"/>
        </w:rPr>
        <w:t xml:space="preserve"> six “Institutional Priorities” or “areas of focus” from the </w:t>
      </w:r>
      <w:r w:rsidRPr="00EA52E9">
        <w:rPr>
          <w:rFonts w:asciiTheme="minorHAnsi" w:hAnsiTheme="minorHAnsi"/>
        </w:rPr>
        <w:t>EMP</w:t>
      </w:r>
      <w:r w:rsidRPr="00EA52E9">
        <w:rPr>
          <w:rFonts w:asciiTheme="minorHAnsi" w:hAnsiTheme="minorHAnsi"/>
        </w:rPr>
        <w:t>:</w:t>
      </w:r>
      <w:bookmarkStart w:id="0" w:name="_GoBack"/>
      <w:bookmarkEnd w:id="0"/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1.1.4. Achieve the applicable goals in the Distance Education (DE) Plan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4.2.3. Expand enrollment and services to underrepresented groups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7.2.1. Align course offerings with student need/demand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7.2.6. Expand access to programs (i.e. international students, transfer model curriculum, and dual enrollment with K-12 partners)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9.1.3. Refine and revise the Resource Allocation Model (RAM) to meet campus needs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A52E9">
        <w:rPr>
          <w:rFonts w:asciiTheme="minorHAnsi" w:hAnsiTheme="minorHAnsi"/>
        </w:rPr>
        <w:t>9.1.5. Ensure institutional planning informs the allocation of resources</w:t>
      </w:r>
    </w:p>
    <w:p w:rsidR="001919A3" w:rsidRPr="00EA52E9" w:rsidRDefault="001919A3">
      <w:pPr>
        <w:rPr>
          <w:rFonts w:asciiTheme="minorHAnsi" w:hAnsiTheme="minorHAnsi"/>
        </w:rPr>
      </w:pPr>
    </w:p>
    <w:sectPr w:rsidR="001919A3" w:rsidRPr="00EA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aeger Daily News">
    <w:panose1 w:val="020005030900000200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A48A9"/>
    <w:multiLevelType w:val="hybridMultilevel"/>
    <w:tmpl w:val="A428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9"/>
    <w:rsid w:val="001919A3"/>
    <w:rsid w:val="00E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A68B"/>
  <w15:chartTrackingRefBased/>
  <w15:docId w15:val="{482BF4DA-B6D4-4D28-8AE9-71A3D50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E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E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EA52E9"/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5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3D"/>
      </a:accent1>
      <a:accent2>
        <a:srgbClr val="FFC72C"/>
      </a:accent2>
      <a:accent3>
        <a:srgbClr val="25A9ED"/>
      </a:accent3>
      <a:accent4>
        <a:srgbClr val="623D8D"/>
      </a:accent4>
      <a:accent5>
        <a:srgbClr val="878A89"/>
      </a:accent5>
      <a:accent6>
        <a:srgbClr val="C15621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Benjamin R.</dc:creator>
  <cp:keywords/>
  <dc:description/>
  <cp:lastModifiedBy>Gamboa, Benjamin R.</cp:lastModifiedBy>
  <cp:revision>1</cp:revision>
  <cp:lastPrinted>2018-01-26T21:26:00Z</cp:lastPrinted>
  <dcterms:created xsi:type="dcterms:W3CDTF">2018-01-26T21:24:00Z</dcterms:created>
  <dcterms:modified xsi:type="dcterms:W3CDTF">2018-01-26T21:27:00Z</dcterms:modified>
</cp:coreProperties>
</file>