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5215"/>
      </w:tblGrid>
      <w:tr w:rsidR="00A32B97" w:rsidTr="00654A49">
        <w:tc>
          <w:tcPr>
            <w:tcW w:w="270" w:type="dxa"/>
            <w:shd w:val="clear" w:color="auto" w:fill="00B050"/>
            <w:vAlign w:val="center"/>
          </w:tcPr>
          <w:p w:rsidR="00A32B97" w:rsidRDefault="00A32B97" w:rsidP="00A32B97">
            <w:pPr>
              <w:jc w:val="center"/>
            </w:pPr>
          </w:p>
        </w:tc>
        <w:tc>
          <w:tcPr>
            <w:tcW w:w="5215" w:type="dxa"/>
          </w:tcPr>
          <w:p w:rsidR="00A32B97" w:rsidRDefault="00A32B97">
            <w:r>
              <w:t>Met/Exceeded the Target</w:t>
            </w:r>
          </w:p>
        </w:tc>
      </w:tr>
      <w:tr w:rsidR="00A32B97" w:rsidTr="00654A49">
        <w:tc>
          <w:tcPr>
            <w:tcW w:w="270" w:type="dxa"/>
            <w:shd w:val="clear" w:color="auto" w:fill="FFFF00"/>
          </w:tcPr>
          <w:p w:rsidR="00A32B97" w:rsidRDefault="00A32B97"/>
        </w:tc>
        <w:tc>
          <w:tcPr>
            <w:tcW w:w="5215" w:type="dxa"/>
          </w:tcPr>
          <w:p w:rsidR="00A32B97" w:rsidRDefault="00A32B97">
            <w:r>
              <w:t>Evaluate (&lt;3% below the Target)</w:t>
            </w:r>
          </w:p>
        </w:tc>
      </w:tr>
      <w:tr w:rsidR="00A32B97" w:rsidTr="00654A49">
        <w:tc>
          <w:tcPr>
            <w:tcW w:w="270" w:type="dxa"/>
            <w:shd w:val="clear" w:color="auto" w:fill="FF0000"/>
          </w:tcPr>
          <w:p w:rsidR="00A32B97" w:rsidRDefault="00A32B97"/>
        </w:tc>
        <w:tc>
          <w:tcPr>
            <w:tcW w:w="5215" w:type="dxa"/>
          </w:tcPr>
          <w:p w:rsidR="00A32B97" w:rsidRDefault="00A32B97">
            <w:r>
              <w:t>Area for Improvement (3% or more below the Target</w:t>
            </w:r>
            <w:r w:rsidR="00F03E38">
              <w:t>)</w:t>
            </w:r>
          </w:p>
        </w:tc>
      </w:tr>
    </w:tbl>
    <w:p w:rsidR="00807ED6" w:rsidRPr="000360FC" w:rsidRDefault="00807ED6" w:rsidP="00CB42F9">
      <w:pPr>
        <w:spacing w:after="0" w:line="240" w:lineRule="auto"/>
        <w:rPr>
          <w:sz w:val="8"/>
          <w:szCs w:val="8"/>
        </w:rPr>
      </w:pPr>
    </w:p>
    <w:tbl>
      <w:tblPr>
        <w:tblStyle w:val="TableGrid"/>
        <w:tblW w:w="13749" w:type="dxa"/>
        <w:tblLook w:val="04A0" w:firstRow="1" w:lastRow="0" w:firstColumn="1" w:lastColumn="0" w:noHBand="0" w:noVBand="1"/>
      </w:tblPr>
      <w:tblGrid>
        <w:gridCol w:w="1688"/>
        <w:gridCol w:w="5317"/>
        <w:gridCol w:w="928"/>
        <w:gridCol w:w="246"/>
        <w:gridCol w:w="928"/>
        <w:gridCol w:w="237"/>
        <w:gridCol w:w="928"/>
        <w:gridCol w:w="231"/>
        <w:gridCol w:w="928"/>
        <w:gridCol w:w="231"/>
        <w:gridCol w:w="928"/>
        <w:gridCol w:w="231"/>
        <w:gridCol w:w="928"/>
      </w:tblGrid>
      <w:tr w:rsidR="00B67D97" w:rsidRPr="00F03E38" w:rsidTr="00B67D97">
        <w:tc>
          <w:tcPr>
            <w:tcW w:w="1688" w:type="dxa"/>
            <w:tcBorders>
              <w:top w:val="double" w:sz="4" w:space="0" w:color="auto"/>
              <w:left w:val="double" w:sz="4" w:space="0" w:color="auto"/>
              <w:right w:val="double" w:sz="4" w:space="0" w:color="auto"/>
            </w:tcBorders>
            <w:vAlign w:val="center"/>
          </w:tcPr>
          <w:p w:rsidR="00654A49" w:rsidRPr="00F03E38" w:rsidRDefault="00654A49" w:rsidP="003D411B">
            <w:pPr>
              <w:jc w:val="center"/>
              <w:rPr>
                <w:b/>
                <w:sz w:val="20"/>
                <w:szCs w:val="20"/>
              </w:rPr>
            </w:pPr>
            <w:r w:rsidRPr="00F03E38">
              <w:rPr>
                <w:b/>
                <w:sz w:val="20"/>
                <w:szCs w:val="20"/>
              </w:rPr>
              <w:t>Strategic Direction</w:t>
            </w:r>
          </w:p>
        </w:tc>
        <w:tc>
          <w:tcPr>
            <w:tcW w:w="5317" w:type="dxa"/>
            <w:tcBorders>
              <w:top w:val="double" w:sz="4" w:space="0" w:color="auto"/>
              <w:left w:val="double" w:sz="4" w:space="0" w:color="auto"/>
              <w:right w:val="double" w:sz="4" w:space="0" w:color="auto"/>
            </w:tcBorders>
            <w:vAlign w:val="center"/>
          </w:tcPr>
          <w:p w:rsidR="00654A49" w:rsidRPr="00F03E38" w:rsidRDefault="00E533CA" w:rsidP="003D411B">
            <w:pPr>
              <w:jc w:val="center"/>
              <w:rPr>
                <w:b/>
                <w:sz w:val="20"/>
                <w:szCs w:val="20"/>
              </w:rPr>
            </w:pPr>
            <w:r>
              <w:rPr>
                <w:b/>
                <w:sz w:val="20"/>
                <w:szCs w:val="20"/>
              </w:rPr>
              <w:t>Achievement Outcome Measures</w:t>
            </w:r>
          </w:p>
        </w:tc>
        <w:tc>
          <w:tcPr>
            <w:tcW w:w="928" w:type="dxa"/>
            <w:tcBorders>
              <w:top w:val="double" w:sz="4" w:space="0" w:color="auto"/>
              <w:left w:val="double" w:sz="4" w:space="0" w:color="auto"/>
              <w:right w:val="double" w:sz="4" w:space="0" w:color="auto"/>
            </w:tcBorders>
            <w:vAlign w:val="center"/>
          </w:tcPr>
          <w:p w:rsidR="00654A49" w:rsidRPr="00F03E38" w:rsidRDefault="00AA45D7" w:rsidP="00AA45D7">
            <w:pPr>
              <w:jc w:val="center"/>
              <w:rPr>
                <w:b/>
                <w:sz w:val="20"/>
                <w:szCs w:val="20"/>
              </w:rPr>
            </w:pPr>
            <w:r>
              <w:rPr>
                <w:b/>
                <w:sz w:val="20"/>
                <w:szCs w:val="20"/>
              </w:rPr>
              <w:t>17-18</w:t>
            </w:r>
            <w:r w:rsidR="00480CF2">
              <w:rPr>
                <w:b/>
                <w:sz w:val="20"/>
                <w:szCs w:val="20"/>
              </w:rPr>
              <w:t xml:space="preserve"> </w:t>
            </w:r>
            <w:r w:rsidR="00654A49" w:rsidRPr="00F03E38">
              <w:rPr>
                <w:b/>
                <w:sz w:val="20"/>
                <w:szCs w:val="20"/>
              </w:rPr>
              <w:t>Target</w:t>
            </w:r>
          </w:p>
        </w:tc>
        <w:tc>
          <w:tcPr>
            <w:tcW w:w="1174" w:type="dxa"/>
            <w:gridSpan w:val="2"/>
            <w:tcBorders>
              <w:top w:val="double" w:sz="4" w:space="0" w:color="auto"/>
              <w:left w:val="double" w:sz="4" w:space="0" w:color="auto"/>
              <w:right w:val="double" w:sz="4" w:space="0" w:color="auto"/>
            </w:tcBorders>
            <w:vAlign w:val="center"/>
          </w:tcPr>
          <w:p w:rsidR="00654A49" w:rsidRPr="00F03E38" w:rsidRDefault="00654A49" w:rsidP="003D411B">
            <w:pPr>
              <w:jc w:val="center"/>
              <w:rPr>
                <w:b/>
                <w:sz w:val="20"/>
                <w:szCs w:val="20"/>
              </w:rPr>
            </w:pPr>
            <w:r w:rsidRPr="00F03E38">
              <w:rPr>
                <w:b/>
                <w:sz w:val="20"/>
                <w:szCs w:val="20"/>
              </w:rPr>
              <w:t>2012-13</w:t>
            </w:r>
          </w:p>
        </w:tc>
        <w:tc>
          <w:tcPr>
            <w:tcW w:w="1165" w:type="dxa"/>
            <w:gridSpan w:val="2"/>
            <w:tcBorders>
              <w:top w:val="double" w:sz="4" w:space="0" w:color="auto"/>
              <w:left w:val="double" w:sz="4" w:space="0" w:color="auto"/>
              <w:right w:val="double" w:sz="4" w:space="0" w:color="auto"/>
            </w:tcBorders>
            <w:vAlign w:val="center"/>
          </w:tcPr>
          <w:p w:rsidR="00654A49" w:rsidRPr="00F03E38" w:rsidRDefault="00654A49" w:rsidP="003D411B">
            <w:pPr>
              <w:jc w:val="center"/>
              <w:rPr>
                <w:b/>
                <w:sz w:val="20"/>
                <w:szCs w:val="20"/>
              </w:rPr>
            </w:pPr>
            <w:r w:rsidRPr="00F03E38">
              <w:rPr>
                <w:b/>
                <w:sz w:val="20"/>
                <w:szCs w:val="20"/>
              </w:rPr>
              <w:t>2013-14</w:t>
            </w:r>
          </w:p>
        </w:tc>
        <w:tc>
          <w:tcPr>
            <w:tcW w:w="1159" w:type="dxa"/>
            <w:gridSpan w:val="2"/>
            <w:tcBorders>
              <w:top w:val="double" w:sz="4" w:space="0" w:color="auto"/>
              <w:left w:val="double" w:sz="4" w:space="0" w:color="auto"/>
              <w:right w:val="double" w:sz="4" w:space="0" w:color="auto"/>
            </w:tcBorders>
            <w:vAlign w:val="center"/>
          </w:tcPr>
          <w:p w:rsidR="00654A49" w:rsidRPr="00F03E38" w:rsidRDefault="00654A49" w:rsidP="003D411B">
            <w:pPr>
              <w:jc w:val="center"/>
              <w:rPr>
                <w:b/>
                <w:sz w:val="20"/>
                <w:szCs w:val="20"/>
              </w:rPr>
            </w:pPr>
            <w:r w:rsidRPr="00F03E38">
              <w:rPr>
                <w:b/>
                <w:sz w:val="20"/>
                <w:szCs w:val="20"/>
              </w:rPr>
              <w:t>2014-15</w:t>
            </w:r>
          </w:p>
        </w:tc>
        <w:tc>
          <w:tcPr>
            <w:tcW w:w="1159" w:type="dxa"/>
            <w:gridSpan w:val="2"/>
            <w:tcBorders>
              <w:top w:val="double" w:sz="4" w:space="0" w:color="auto"/>
              <w:left w:val="double" w:sz="4" w:space="0" w:color="auto"/>
              <w:right w:val="double" w:sz="4" w:space="0" w:color="auto"/>
            </w:tcBorders>
            <w:vAlign w:val="center"/>
          </w:tcPr>
          <w:p w:rsidR="00654A49" w:rsidRPr="00F03E38" w:rsidRDefault="00654A49" w:rsidP="003D411B">
            <w:pPr>
              <w:jc w:val="center"/>
              <w:rPr>
                <w:b/>
                <w:sz w:val="20"/>
                <w:szCs w:val="20"/>
              </w:rPr>
            </w:pPr>
            <w:r w:rsidRPr="00F03E38">
              <w:rPr>
                <w:b/>
                <w:sz w:val="20"/>
                <w:szCs w:val="20"/>
              </w:rPr>
              <w:t>2015-16</w:t>
            </w:r>
          </w:p>
        </w:tc>
        <w:tc>
          <w:tcPr>
            <w:tcW w:w="1159" w:type="dxa"/>
            <w:gridSpan w:val="2"/>
            <w:tcBorders>
              <w:top w:val="double" w:sz="4" w:space="0" w:color="auto"/>
              <w:left w:val="double" w:sz="4" w:space="0" w:color="auto"/>
              <w:right w:val="double" w:sz="4" w:space="0" w:color="auto"/>
            </w:tcBorders>
            <w:vAlign w:val="center"/>
          </w:tcPr>
          <w:p w:rsidR="00654A49" w:rsidRPr="00F03E38" w:rsidRDefault="00654A49" w:rsidP="003D411B">
            <w:pPr>
              <w:jc w:val="center"/>
              <w:rPr>
                <w:b/>
                <w:sz w:val="20"/>
                <w:szCs w:val="20"/>
              </w:rPr>
            </w:pPr>
            <w:r>
              <w:rPr>
                <w:b/>
                <w:sz w:val="20"/>
                <w:szCs w:val="20"/>
              </w:rPr>
              <w:t>2016-17</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sidRPr="00F03E38">
              <w:rPr>
                <w:sz w:val="20"/>
                <w:szCs w:val="20"/>
              </w:rPr>
              <w:t>1</w:t>
            </w:r>
            <w:r>
              <w:rPr>
                <w:sz w:val="20"/>
                <w:szCs w:val="20"/>
              </w:rPr>
              <w:t xml:space="preserve"> &amp; 3</w:t>
            </w:r>
          </w:p>
        </w:tc>
        <w:tc>
          <w:tcPr>
            <w:tcW w:w="5317" w:type="dxa"/>
            <w:tcBorders>
              <w:left w:val="double" w:sz="4" w:space="0" w:color="auto"/>
              <w:right w:val="double" w:sz="4" w:space="0" w:color="auto"/>
            </w:tcBorders>
            <w:vAlign w:val="center"/>
          </w:tcPr>
          <w:p w:rsidR="00654A49" w:rsidRPr="00F03E38" w:rsidRDefault="009244FE" w:rsidP="003D411B">
            <w:pPr>
              <w:rPr>
                <w:sz w:val="20"/>
                <w:szCs w:val="20"/>
              </w:rPr>
            </w:pPr>
            <w:hyperlink r:id="rId7" w:history="1">
              <w:r w:rsidR="00654A49" w:rsidRPr="00DE0384">
                <w:rPr>
                  <w:rStyle w:val="Hyperlink"/>
                  <w:sz w:val="20"/>
                  <w:szCs w:val="20"/>
                </w:rPr>
                <w:t>Course Success Rate</w:t>
              </w:r>
            </w:hyperlink>
          </w:p>
        </w:tc>
        <w:tc>
          <w:tcPr>
            <w:tcW w:w="92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73.0</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73.6</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73.4</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73.6</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73.2</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72.9</w:t>
            </w:r>
          </w:p>
        </w:tc>
      </w:tr>
      <w:tr w:rsidR="00AA45D7" w:rsidRPr="00F03E38" w:rsidTr="00626C97">
        <w:tc>
          <w:tcPr>
            <w:tcW w:w="1688" w:type="dxa"/>
            <w:tcBorders>
              <w:left w:val="double" w:sz="4" w:space="0" w:color="auto"/>
              <w:right w:val="double" w:sz="4" w:space="0" w:color="auto"/>
            </w:tcBorders>
            <w:shd w:val="clear" w:color="auto" w:fill="auto"/>
            <w:vAlign w:val="center"/>
          </w:tcPr>
          <w:p w:rsidR="00654A49" w:rsidRPr="00F03E38" w:rsidRDefault="00654A49" w:rsidP="003D411B">
            <w:pPr>
              <w:jc w:val="center"/>
              <w:rPr>
                <w:sz w:val="20"/>
                <w:szCs w:val="20"/>
              </w:rPr>
            </w:pPr>
            <w:r w:rsidRPr="00F03E38">
              <w:rPr>
                <w:sz w:val="20"/>
                <w:szCs w:val="20"/>
              </w:rPr>
              <w:t>1</w:t>
            </w:r>
          </w:p>
        </w:tc>
        <w:tc>
          <w:tcPr>
            <w:tcW w:w="5317" w:type="dxa"/>
            <w:tcBorders>
              <w:left w:val="double" w:sz="4" w:space="0" w:color="auto"/>
              <w:right w:val="double" w:sz="4" w:space="0" w:color="auto"/>
            </w:tcBorders>
            <w:shd w:val="clear" w:color="auto" w:fill="auto"/>
            <w:vAlign w:val="center"/>
          </w:tcPr>
          <w:p w:rsidR="00654A49" w:rsidRPr="00F03E38" w:rsidRDefault="00654A49" w:rsidP="003D411B">
            <w:pPr>
              <w:rPr>
                <w:sz w:val="20"/>
                <w:szCs w:val="20"/>
              </w:rPr>
            </w:pPr>
            <w:r w:rsidRPr="00E94922">
              <w:rPr>
                <w:sz w:val="20"/>
                <w:szCs w:val="20"/>
              </w:rPr>
              <w:t>Fall to Spring Retention (Persistence)</w:t>
            </w:r>
          </w:p>
        </w:tc>
        <w:tc>
          <w:tcPr>
            <w:tcW w:w="928" w:type="dxa"/>
            <w:tcBorders>
              <w:left w:val="double" w:sz="4" w:space="0" w:color="auto"/>
              <w:right w:val="double" w:sz="4" w:space="0" w:color="auto"/>
            </w:tcBorders>
            <w:shd w:val="clear" w:color="auto" w:fill="auto"/>
            <w:vAlign w:val="center"/>
          </w:tcPr>
          <w:p w:rsidR="00654A49" w:rsidRPr="00F03E38" w:rsidRDefault="00AA45D7" w:rsidP="003D411B">
            <w:pPr>
              <w:jc w:val="center"/>
              <w:rPr>
                <w:sz w:val="20"/>
                <w:szCs w:val="20"/>
              </w:rPr>
            </w:pPr>
            <w:r>
              <w:rPr>
                <w:sz w:val="20"/>
                <w:szCs w:val="20"/>
              </w:rPr>
              <w:t>71.2</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71.1</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71.9</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69.7</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68.7</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051CFB" w:rsidP="003D411B">
            <w:pPr>
              <w:jc w:val="right"/>
              <w:rPr>
                <w:sz w:val="20"/>
                <w:szCs w:val="20"/>
              </w:rPr>
            </w:pPr>
            <w:r>
              <w:rPr>
                <w:sz w:val="20"/>
                <w:szCs w:val="20"/>
              </w:rPr>
              <w:t>70.6</w:t>
            </w:r>
          </w:p>
        </w:tc>
      </w:tr>
      <w:tr w:rsidR="00626C97" w:rsidRPr="00F03E38" w:rsidTr="00626C97">
        <w:tc>
          <w:tcPr>
            <w:tcW w:w="1688" w:type="dxa"/>
            <w:tcBorders>
              <w:left w:val="double" w:sz="4" w:space="0" w:color="auto"/>
              <w:right w:val="double" w:sz="4" w:space="0" w:color="auto"/>
            </w:tcBorders>
            <w:shd w:val="clear" w:color="auto" w:fill="auto"/>
            <w:vAlign w:val="center"/>
          </w:tcPr>
          <w:p w:rsidR="00654A49" w:rsidRPr="00F03E38" w:rsidRDefault="00654A49" w:rsidP="003D411B">
            <w:pPr>
              <w:jc w:val="center"/>
              <w:rPr>
                <w:sz w:val="20"/>
                <w:szCs w:val="20"/>
              </w:rPr>
            </w:pPr>
            <w:r w:rsidRPr="00F03E38">
              <w:rPr>
                <w:sz w:val="20"/>
                <w:szCs w:val="20"/>
              </w:rPr>
              <w:t>1</w:t>
            </w:r>
          </w:p>
        </w:tc>
        <w:tc>
          <w:tcPr>
            <w:tcW w:w="5317" w:type="dxa"/>
            <w:tcBorders>
              <w:left w:val="double" w:sz="4" w:space="0" w:color="auto"/>
              <w:right w:val="double" w:sz="4" w:space="0" w:color="auto"/>
            </w:tcBorders>
            <w:shd w:val="clear" w:color="auto" w:fill="auto"/>
            <w:vAlign w:val="center"/>
          </w:tcPr>
          <w:p w:rsidR="00654A49" w:rsidRPr="00F03E38" w:rsidRDefault="009244FE" w:rsidP="003D411B">
            <w:pPr>
              <w:rPr>
                <w:sz w:val="20"/>
                <w:szCs w:val="20"/>
              </w:rPr>
            </w:pPr>
            <w:hyperlink r:id="rId8" w:history="1">
              <w:r w:rsidR="00654A49" w:rsidRPr="005C523E">
                <w:rPr>
                  <w:rStyle w:val="Hyperlink"/>
                  <w:sz w:val="20"/>
                  <w:szCs w:val="20"/>
                </w:rPr>
                <w:t>Three-Year English Throughput Rate</w:t>
              </w:r>
            </w:hyperlink>
          </w:p>
        </w:tc>
        <w:tc>
          <w:tcPr>
            <w:tcW w:w="928" w:type="dxa"/>
            <w:tcBorders>
              <w:left w:val="double" w:sz="4" w:space="0" w:color="auto"/>
              <w:right w:val="double" w:sz="4" w:space="0" w:color="auto"/>
            </w:tcBorders>
            <w:shd w:val="clear" w:color="auto" w:fill="auto"/>
            <w:vAlign w:val="center"/>
          </w:tcPr>
          <w:p w:rsidR="00654A49" w:rsidRPr="00F03E38" w:rsidRDefault="00A645BD" w:rsidP="003D411B">
            <w:pPr>
              <w:jc w:val="center"/>
              <w:rPr>
                <w:sz w:val="20"/>
                <w:szCs w:val="20"/>
              </w:rPr>
            </w:pPr>
            <w:r>
              <w:rPr>
                <w:sz w:val="20"/>
                <w:szCs w:val="20"/>
              </w:rPr>
              <w:t>49.3</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59.3</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47.1</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48.1</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46.2</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E7348C" w:rsidP="003D411B">
            <w:pPr>
              <w:jc w:val="right"/>
              <w:rPr>
                <w:sz w:val="20"/>
                <w:szCs w:val="20"/>
              </w:rPr>
            </w:pPr>
            <w:r>
              <w:rPr>
                <w:sz w:val="20"/>
                <w:szCs w:val="20"/>
              </w:rPr>
              <w:t>46.5</w:t>
            </w:r>
          </w:p>
        </w:tc>
      </w:tr>
      <w:tr w:rsidR="00AA45D7" w:rsidRPr="00F03E38" w:rsidTr="00626C97">
        <w:tc>
          <w:tcPr>
            <w:tcW w:w="1688" w:type="dxa"/>
            <w:tcBorders>
              <w:left w:val="double" w:sz="4" w:space="0" w:color="auto"/>
              <w:right w:val="double" w:sz="4" w:space="0" w:color="auto"/>
            </w:tcBorders>
            <w:shd w:val="clear" w:color="auto" w:fill="auto"/>
            <w:vAlign w:val="center"/>
          </w:tcPr>
          <w:p w:rsidR="00654A49" w:rsidRPr="00F03E38" w:rsidRDefault="00654A49" w:rsidP="003D411B">
            <w:pPr>
              <w:jc w:val="center"/>
              <w:rPr>
                <w:sz w:val="20"/>
                <w:szCs w:val="20"/>
              </w:rPr>
            </w:pPr>
            <w:r w:rsidRPr="00F03E38">
              <w:rPr>
                <w:sz w:val="20"/>
                <w:szCs w:val="20"/>
              </w:rPr>
              <w:t>1</w:t>
            </w:r>
          </w:p>
        </w:tc>
        <w:tc>
          <w:tcPr>
            <w:tcW w:w="5317" w:type="dxa"/>
            <w:tcBorders>
              <w:left w:val="double" w:sz="4" w:space="0" w:color="auto"/>
              <w:right w:val="double" w:sz="4" w:space="0" w:color="auto"/>
            </w:tcBorders>
            <w:shd w:val="clear" w:color="auto" w:fill="auto"/>
            <w:vAlign w:val="center"/>
          </w:tcPr>
          <w:p w:rsidR="00654A49" w:rsidRPr="00F03E38" w:rsidRDefault="009244FE" w:rsidP="000360FC">
            <w:pPr>
              <w:rPr>
                <w:sz w:val="20"/>
                <w:szCs w:val="20"/>
              </w:rPr>
            </w:pPr>
            <w:hyperlink r:id="rId9" w:history="1">
              <w:r w:rsidR="00654A49" w:rsidRPr="000360FC">
                <w:rPr>
                  <w:rStyle w:val="Hyperlink"/>
                  <w:sz w:val="20"/>
                  <w:szCs w:val="20"/>
                </w:rPr>
                <w:t>Three-Year Math Throughput Rate</w:t>
              </w:r>
            </w:hyperlink>
            <w:r w:rsidR="000360FC">
              <w:rPr>
                <w:sz w:val="20"/>
                <w:szCs w:val="20"/>
              </w:rPr>
              <w:t xml:space="preserve"> – Long Range Target is 50%</w:t>
            </w:r>
          </w:p>
        </w:tc>
        <w:tc>
          <w:tcPr>
            <w:tcW w:w="928" w:type="dxa"/>
            <w:tcBorders>
              <w:left w:val="double" w:sz="4" w:space="0" w:color="auto"/>
              <w:right w:val="double" w:sz="4" w:space="0" w:color="auto"/>
            </w:tcBorders>
            <w:shd w:val="clear" w:color="auto" w:fill="auto"/>
            <w:vAlign w:val="center"/>
          </w:tcPr>
          <w:p w:rsidR="00654A49" w:rsidRPr="00F03E38" w:rsidRDefault="004677D2" w:rsidP="003D411B">
            <w:pPr>
              <w:jc w:val="center"/>
              <w:rPr>
                <w:sz w:val="20"/>
                <w:szCs w:val="20"/>
              </w:rPr>
            </w:pPr>
            <w:r>
              <w:rPr>
                <w:sz w:val="20"/>
                <w:szCs w:val="20"/>
              </w:rPr>
              <w:t>26.2</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23.2</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29.8</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30.7</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25.6</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8A4BA9" w:rsidP="003D411B">
            <w:pPr>
              <w:jc w:val="right"/>
              <w:rPr>
                <w:sz w:val="20"/>
                <w:szCs w:val="20"/>
              </w:rPr>
            </w:pPr>
            <w:r>
              <w:rPr>
                <w:sz w:val="20"/>
                <w:szCs w:val="20"/>
              </w:rPr>
              <w:t>24.6</w:t>
            </w:r>
          </w:p>
        </w:tc>
      </w:tr>
      <w:tr w:rsidR="00AA45D7" w:rsidRPr="00F03E38" w:rsidTr="00626C97">
        <w:tc>
          <w:tcPr>
            <w:tcW w:w="1688" w:type="dxa"/>
            <w:tcBorders>
              <w:left w:val="double" w:sz="4" w:space="0" w:color="auto"/>
              <w:right w:val="double" w:sz="4" w:space="0" w:color="auto"/>
            </w:tcBorders>
            <w:shd w:val="clear" w:color="auto" w:fill="auto"/>
            <w:vAlign w:val="center"/>
          </w:tcPr>
          <w:p w:rsidR="00654A49" w:rsidRPr="00F03E38" w:rsidRDefault="00654A49" w:rsidP="003D411B">
            <w:pPr>
              <w:jc w:val="center"/>
              <w:rPr>
                <w:sz w:val="20"/>
                <w:szCs w:val="20"/>
              </w:rPr>
            </w:pPr>
            <w:r>
              <w:rPr>
                <w:sz w:val="20"/>
                <w:szCs w:val="20"/>
              </w:rPr>
              <w:t>1</w:t>
            </w:r>
          </w:p>
        </w:tc>
        <w:tc>
          <w:tcPr>
            <w:tcW w:w="5317" w:type="dxa"/>
            <w:tcBorders>
              <w:left w:val="double" w:sz="4" w:space="0" w:color="auto"/>
              <w:right w:val="double" w:sz="4" w:space="0" w:color="auto"/>
            </w:tcBorders>
            <w:shd w:val="clear" w:color="auto" w:fill="auto"/>
            <w:vAlign w:val="center"/>
          </w:tcPr>
          <w:p w:rsidR="00654A49" w:rsidRPr="00F03E38" w:rsidRDefault="009244FE" w:rsidP="003D411B">
            <w:pPr>
              <w:rPr>
                <w:sz w:val="20"/>
                <w:szCs w:val="20"/>
              </w:rPr>
            </w:pPr>
            <w:hyperlink r:id="rId10" w:anchor="1" w:history="1">
              <w:r w:rsidR="00654A49" w:rsidRPr="00C70AC1">
                <w:rPr>
                  <w:rStyle w:val="Hyperlink"/>
                  <w:sz w:val="20"/>
                  <w:szCs w:val="20"/>
                </w:rPr>
                <w:t>Number of Degrees and Certificates</w:t>
              </w:r>
            </w:hyperlink>
          </w:p>
        </w:tc>
        <w:tc>
          <w:tcPr>
            <w:tcW w:w="928" w:type="dxa"/>
            <w:tcBorders>
              <w:left w:val="double" w:sz="4" w:space="0" w:color="auto"/>
              <w:right w:val="double" w:sz="4" w:space="0" w:color="auto"/>
            </w:tcBorders>
            <w:shd w:val="clear" w:color="auto" w:fill="auto"/>
            <w:vAlign w:val="center"/>
          </w:tcPr>
          <w:p w:rsidR="00654A49" w:rsidRPr="00F03E38" w:rsidRDefault="00654A49" w:rsidP="003D411B">
            <w:pPr>
              <w:jc w:val="center"/>
              <w:rPr>
                <w:sz w:val="20"/>
                <w:szCs w:val="20"/>
              </w:rPr>
            </w:pPr>
            <w:r>
              <w:rPr>
                <w:sz w:val="20"/>
                <w:szCs w:val="20"/>
              </w:rPr>
              <w:t>1,066</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733</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825</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937</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971</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1,072</w:t>
            </w:r>
          </w:p>
        </w:tc>
      </w:tr>
      <w:tr w:rsidR="00AA45D7" w:rsidRPr="00F03E38" w:rsidTr="00626C97">
        <w:tc>
          <w:tcPr>
            <w:tcW w:w="1688" w:type="dxa"/>
            <w:tcBorders>
              <w:left w:val="double" w:sz="4" w:space="0" w:color="auto"/>
              <w:right w:val="double" w:sz="4" w:space="0" w:color="auto"/>
            </w:tcBorders>
            <w:shd w:val="clear" w:color="auto" w:fill="auto"/>
            <w:vAlign w:val="center"/>
          </w:tcPr>
          <w:p w:rsidR="00654A49" w:rsidRDefault="00654A49" w:rsidP="003D411B">
            <w:pPr>
              <w:jc w:val="center"/>
              <w:rPr>
                <w:sz w:val="20"/>
                <w:szCs w:val="20"/>
              </w:rPr>
            </w:pPr>
            <w:r>
              <w:rPr>
                <w:sz w:val="20"/>
                <w:szCs w:val="20"/>
              </w:rPr>
              <w:t>1</w:t>
            </w:r>
          </w:p>
        </w:tc>
        <w:tc>
          <w:tcPr>
            <w:tcW w:w="5317" w:type="dxa"/>
            <w:tcBorders>
              <w:left w:val="double" w:sz="4" w:space="0" w:color="auto"/>
              <w:right w:val="double" w:sz="4" w:space="0" w:color="auto"/>
            </w:tcBorders>
            <w:shd w:val="clear" w:color="auto" w:fill="auto"/>
            <w:vAlign w:val="center"/>
          </w:tcPr>
          <w:p w:rsidR="00654A49" w:rsidRDefault="00654A49" w:rsidP="003D411B">
            <w:pPr>
              <w:rPr>
                <w:sz w:val="20"/>
                <w:szCs w:val="20"/>
              </w:rPr>
            </w:pPr>
            <w:r>
              <w:rPr>
                <w:sz w:val="20"/>
                <w:szCs w:val="20"/>
              </w:rPr>
              <w:t>Transfer Rate*</w:t>
            </w:r>
          </w:p>
        </w:tc>
        <w:tc>
          <w:tcPr>
            <w:tcW w:w="928" w:type="dxa"/>
            <w:tcBorders>
              <w:left w:val="double" w:sz="4" w:space="0" w:color="auto"/>
              <w:right w:val="double" w:sz="4" w:space="0" w:color="auto"/>
            </w:tcBorders>
            <w:shd w:val="clear" w:color="auto" w:fill="auto"/>
            <w:vAlign w:val="center"/>
          </w:tcPr>
          <w:p w:rsidR="00654A49" w:rsidRPr="00F03E38" w:rsidRDefault="001D0020" w:rsidP="003D411B">
            <w:pPr>
              <w:jc w:val="center"/>
              <w:rPr>
                <w:sz w:val="20"/>
                <w:szCs w:val="20"/>
              </w:rPr>
            </w:pPr>
            <w:r>
              <w:rPr>
                <w:sz w:val="20"/>
                <w:szCs w:val="20"/>
              </w:rPr>
              <w:t>31.2</w:t>
            </w:r>
          </w:p>
        </w:tc>
        <w:tc>
          <w:tcPr>
            <w:tcW w:w="246"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30.2</w:t>
            </w:r>
          </w:p>
        </w:tc>
        <w:tc>
          <w:tcPr>
            <w:tcW w:w="237"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27.6</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28.8</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28.2</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30.6</w:t>
            </w:r>
          </w:p>
        </w:tc>
      </w:tr>
      <w:tr w:rsidR="00EF5C9B" w:rsidRPr="00F03E38" w:rsidTr="00626C97">
        <w:tc>
          <w:tcPr>
            <w:tcW w:w="1688" w:type="dxa"/>
            <w:tcBorders>
              <w:left w:val="double" w:sz="4" w:space="0" w:color="auto"/>
              <w:right w:val="double" w:sz="4" w:space="0" w:color="auto"/>
            </w:tcBorders>
            <w:shd w:val="clear" w:color="auto" w:fill="auto"/>
            <w:vAlign w:val="center"/>
          </w:tcPr>
          <w:p w:rsidR="00EF5C9B" w:rsidRDefault="00EF5C9B" w:rsidP="003D411B">
            <w:pPr>
              <w:jc w:val="center"/>
              <w:rPr>
                <w:sz w:val="20"/>
                <w:szCs w:val="20"/>
              </w:rPr>
            </w:pPr>
            <w:r>
              <w:rPr>
                <w:sz w:val="20"/>
                <w:szCs w:val="20"/>
              </w:rPr>
              <w:t>1</w:t>
            </w:r>
          </w:p>
        </w:tc>
        <w:tc>
          <w:tcPr>
            <w:tcW w:w="5317" w:type="dxa"/>
            <w:tcBorders>
              <w:left w:val="double" w:sz="4" w:space="0" w:color="auto"/>
              <w:right w:val="double" w:sz="4" w:space="0" w:color="auto"/>
            </w:tcBorders>
            <w:shd w:val="clear" w:color="auto" w:fill="auto"/>
            <w:vAlign w:val="center"/>
          </w:tcPr>
          <w:p w:rsidR="00EF5C9B" w:rsidRDefault="00EF5C9B" w:rsidP="00F943DE">
            <w:pPr>
              <w:rPr>
                <w:sz w:val="20"/>
                <w:szCs w:val="20"/>
              </w:rPr>
            </w:pPr>
            <w:r>
              <w:rPr>
                <w:sz w:val="20"/>
                <w:szCs w:val="20"/>
              </w:rPr>
              <w:t xml:space="preserve">CSU GPA </w:t>
            </w:r>
            <w:r w:rsidR="00F943DE">
              <w:rPr>
                <w:sz w:val="20"/>
                <w:szCs w:val="20"/>
              </w:rPr>
              <w:t>One-Year A</w:t>
            </w:r>
            <w:r>
              <w:rPr>
                <w:sz w:val="20"/>
                <w:szCs w:val="20"/>
              </w:rPr>
              <w:t>fter Transfer from Crafton</w:t>
            </w:r>
          </w:p>
        </w:tc>
        <w:tc>
          <w:tcPr>
            <w:tcW w:w="928" w:type="dxa"/>
            <w:tcBorders>
              <w:left w:val="double" w:sz="4" w:space="0" w:color="auto"/>
              <w:right w:val="double" w:sz="4" w:space="0" w:color="auto"/>
            </w:tcBorders>
            <w:shd w:val="clear" w:color="auto" w:fill="auto"/>
            <w:vAlign w:val="center"/>
          </w:tcPr>
          <w:p w:rsidR="00EF5C9B" w:rsidRDefault="00255980" w:rsidP="003D411B">
            <w:pPr>
              <w:jc w:val="center"/>
              <w:rPr>
                <w:sz w:val="20"/>
                <w:szCs w:val="20"/>
              </w:rPr>
            </w:pPr>
            <w:r>
              <w:rPr>
                <w:sz w:val="20"/>
                <w:szCs w:val="20"/>
              </w:rPr>
              <w:t>TBD</w:t>
            </w:r>
          </w:p>
        </w:tc>
        <w:tc>
          <w:tcPr>
            <w:tcW w:w="246" w:type="dxa"/>
            <w:tcBorders>
              <w:left w:val="double" w:sz="4" w:space="0" w:color="auto"/>
              <w:right w:val="nil"/>
            </w:tcBorders>
            <w:shd w:val="clear" w:color="auto" w:fill="auto"/>
            <w:vAlign w:val="center"/>
          </w:tcPr>
          <w:p w:rsidR="00EF5C9B" w:rsidRDefault="00EF5C9B" w:rsidP="003D411B">
            <w:pPr>
              <w:jc w:val="right"/>
              <w:rPr>
                <w:sz w:val="20"/>
                <w:szCs w:val="20"/>
              </w:rPr>
            </w:pPr>
          </w:p>
        </w:tc>
        <w:tc>
          <w:tcPr>
            <w:tcW w:w="928" w:type="dxa"/>
            <w:tcBorders>
              <w:left w:val="nil"/>
              <w:right w:val="double" w:sz="4" w:space="0" w:color="auto"/>
            </w:tcBorders>
            <w:vAlign w:val="center"/>
          </w:tcPr>
          <w:p w:rsidR="00EF5C9B" w:rsidRDefault="00EF5966" w:rsidP="003D411B">
            <w:pPr>
              <w:jc w:val="right"/>
              <w:rPr>
                <w:sz w:val="20"/>
                <w:szCs w:val="20"/>
              </w:rPr>
            </w:pPr>
            <w:r>
              <w:rPr>
                <w:sz w:val="20"/>
                <w:szCs w:val="20"/>
              </w:rPr>
              <w:t>3.09</w:t>
            </w:r>
          </w:p>
        </w:tc>
        <w:tc>
          <w:tcPr>
            <w:tcW w:w="237" w:type="dxa"/>
            <w:tcBorders>
              <w:left w:val="double" w:sz="4" w:space="0" w:color="auto"/>
              <w:right w:val="nil"/>
            </w:tcBorders>
            <w:shd w:val="clear" w:color="auto" w:fill="auto"/>
            <w:vAlign w:val="center"/>
          </w:tcPr>
          <w:p w:rsidR="00EF5C9B" w:rsidRDefault="00EF5C9B" w:rsidP="003D411B">
            <w:pPr>
              <w:jc w:val="right"/>
              <w:rPr>
                <w:sz w:val="20"/>
                <w:szCs w:val="20"/>
              </w:rPr>
            </w:pPr>
          </w:p>
        </w:tc>
        <w:tc>
          <w:tcPr>
            <w:tcW w:w="928" w:type="dxa"/>
            <w:tcBorders>
              <w:left w:val="nil"/>
              <w:right w:val="double" w:sz="4" w:space="0" w:color="auto"/>
            </w:tcBorders>
            <w:vAlign w:val="center"/>
          </w:tcPr>
          <w:p w:rsidR="00EF5C9B" w:rsidRDefault="00EF5966" w:rsidP="003D411B">
            <w:pPr>
              <w:jc w:val="right"/>
              <w:rPr>
                <w:sz w:val="20"/>
                <w:szCs w:val="20"/>
              </w:rPr>
            </w:pPr>
            <w:r>
              <w:rPr>
                <w:sz w:val="20"/>
                <w:szCs w:val="20"/>
              </w:rPr>
              <w:t>3.01</w:t>
            </w:r>
          </w:p>
        </w:tc>
        <w:tc>
          <w:tcPr>
            <w:tcW w:w="231" w:type="dxa"/>
            <w:tcBorders>
              <w:left w:val="double" w:sz="4" w:space="0" w:color="auto"/>
              <w:right w:val="nil"/>
            </w:tcBorders>
            <w:shd w:val="clear" w:color="auto" w:fill="auto"/>
            <w:vAlign w:val="center"/>
          </w:tcPr>
          <w:p w:rsidR="00EF5C9B" w:rsidRDefault="00EF5C9B" w:rsidP="003D411B">
            <w:pPr>
              <w:jc w:val="right"/>
              <w:rPr>
                <w:sz w:val="20"/>
                <w:szCs w:val="20"/>
              </w:rPr>
            </w:pPr>
          </w:p>
        </w:tc>
        <w:tc>
          <w:tcPr>
            <w:tcW w:w="928" w:type="dxa"/>
            <w:tcBorders>
              <w:left w:val="nil"/>
              <w:right w:val="double" w:sz="4" w:space="0" w:color="auto"/>
            </w:tcBorders>
            <w:vAlign w:val="center"/>
          </w:tcPr>
          <w:p w:rsidR="00EF5C9B" w:rsidRDefault="00EF5966" w:rsidP="003D411B">
            <w:pPr>
              <w:jc w:val="right"/>
              <w:rPr>
                <w:sz w:val="20"/>
                <w:szCs w:val="20"/>
              </w:rPr>
            </w:pPr>
            <w:r>
              <w:rPr>
                <w:sz w:val="20"/>
                <w:szCs w:val="20"/>
              </w:rPr>
              <w:t>3.14</w:t>
            </w:r>
          </w:p>
        </w:tc>
        <w:tc>
          <w:tcPr>
            <w:tcW w:w="231" w:type="dxa"/>
            <w:tcBorders>
              <w:left w:val="double" w:sz="4" w:space="0" w:color="auto"/>
              <w:right w:val="nil"/>
            </w:tcBorders>
            <w:shd w:val="clear" w:color="auto" w:fill="auto"/>
            <w:vAlign w:val="center"/>
          </w:tcPr>
          <w:p w:rsidR="00EF5C9B" w:rsidRDefault="00EF5C9B" w:rsidP="003D411B">
            <w:pPr>
              <w:jc w:val="right"/>
              <w:rPr>
                <w:sz w:val="20"/>
                <w:szCs w:val="20"/>
              </w:rPr>
            </w:pPr>
          </w:p>
        </w:tc>
        <w:tc>
          <w:tcPr>
            <w:tcW w:w="928" w:type="dxa"/>
            <w:tcBorders>
              <w:left w:val="nil"/>
              <w:right w:val="double" w:sz="4" w:space="0" w:color="auto"/>
            </w:tcBorders>
            <w:vAlign w:val="center"/>
          </w:tcPr>
          <w:p w:rsidR="00EF5C9B" w:rsidRDefault="00EF5966" w:rsidP="003D411B">
            <w:pPr>
              <w:jc w:val="right"/>
              <w:rPr>
                <w:sz w:val="20"/>
                <w:szCs w:val="20"/>
              </w:rPr>
            </w:pPr>
            <w:r>
              <w:rPr>
                <w:sz w:val="20"/>
                <w:szCs w:val="20"/>
              </w:rPr>
              <w:t>3.14</w:t>
            </w:r>
          </w:p>
        </w:tc>
        <w:tc>
          <w:tcPr>
            <w:tcW w:w="231" w:type="dxa"/>
            <w:tcBorders>
              <w:left w:val="double" w:sz="4" w:space="0" w:color="auto"/>
              <w:right w:val="nil"/>
            </w:tcBorders>
            <w:shd w:val="clear" w:color="auto" w:fill="auto"/>
            <w:vAlign w:val="center"/>
          </w:tcPr>
          <w:p w:rsidR="00EF5C9B" w:rsidRDefault="00EF5C9B" w:rsidP="003D411B">
            <w:pPr>
              <w:jc w:val="right"/>
              <w:rPr>
                <w:sz w:val="20"/>
                <w:szCs w:val="20"/>
              </w:rPr>
            </w:pPr>
          </w:p>
        </w:tc>
        <w:tc>
          <w:tcPr>
            <w:tcW w:w="928" w:type="dxa"/>
            <w:tcBorders>
              <w:left w:val="nil"/>
              <w:right w:val="double" w:sz="4" w:space="0" w:color="auto"/>
            </w:tcBorders>
            <w:vAlign w:val="center"/>
          </w:tcPr>
          <w:p w:rsidR="00EF5C9B" w:rsidRDefault="00EF5966" w:rsidP="003D411B">
            <w:pPr>
              <w:jc w:val="right"/>
              <w:rPr>
                <w:sz w:val="20"/>
                <w:szCs w:val="20"/>
              </w:rPr>
            </w:pPr>
            <w:r>
              <w:rPr>
                <w:sz w:val="20"/>
                <w:szCs w:val="20"/>
              </w:rPr>
              <w:t>3.07</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sidRPr="00F03E38">
              <w:rPr>
                <w:sz w:val="20"/>
                <w:szCs w:val="20"/>
              </w:rPr>
              <w:t>2</w:t>
            </w:r>
            <w:r>
              <w:rPr>
                <w:sz w:val="20"/>
                <w:szCs w:val="20"/>
              </w:rPr>
              <w:t>, 3, 6, 8, &amp; 9</w:t>
            </w:r>
          </w:p>
        </w:tc>
        <w:tc>
          <w:tcPr>
            <w:tcW w:w="5317" w:type="dxa"/>
            <w:tcBorders>
              <w:left w:val="double" w:sz="4" w:space="0" w:color="auto"/>
              <w:right w:val="double" w:sz="4" w:space="0" w:color="auto"/>
            </w:tcBorders>
            <w:vAlign w:val="center"/>
          </w:tcPr>
          <w:p w:rsidR="00654A49" w:rsidRPr="00F03E38" w:rsidRDefault="009244FE" w:rsidP="003D411B">
            <w:pPr>
              <w:rPr>
                <w:sz w:val="20"/>
                <w:szCs w:val="20"/>
              </w:rPr>
            </w:pPr>
            <w:hyperlink r:id="rId11" w:history="1">
              <w:r w:rsidR="00654A49" w:rsidRPr="005C523E">
                <w:rPr>
                  <w:rStyle w:val="Hyperlink"/>
                  <w:sz w:val="20"/>
                  <w:szCs w:val="20"/>
                </w:rPr>
                <w:t>Employee Satisfaction</w:t>
              </w:r>
            </w:hyperlink>
            <w:r w:rsidR="00654A49">
              <w:rPr>
                <w:sz w:val="20"/>
                <w:szCs w:val="20"/>
              </w:rPr>
              <w:t xml:space="preserve"> (6 Questions)</w:t>
            </w:r>
          </w:p>
        </w:tc>
        <w:tc>
          <w:tcPr>
            <w:tcW w:w="928" w:type="dxa"/>
            <w:tcBorders>
              <w:left w:val="double" w:sz="4" w:space="0" w:color="auto"/>
              <w:right w:val="double" w:sz="4" w:space="0" w:color="auto"/>
            </w:tcBorders>
            <w:shd w:val="clear" w:color="auto" w:fill="auto"/>
            <w:vAlign w:val="center"/>
          </w:tcPr>
          <w:p w:rsidR="00654A49" w:rsidRPr="00F03E38" w:rsidRDefault="00654A49" w:rsidP="00480CF2">
            <w:pPr>
              <w:jc w:val="center"/>
              <w:rPr>
                <w:sz w:val="20"/>
                <w:szCs w:val="20"/>
              </w:rPr>
            </w:pPr>
            <w:r>
              <w:rPr>
                <w:sz w:val="20"/>
                <w:szCs w:val="20"/>
              </w:rPr>
              <w:t>7</w:t>
            </w:r>
            <w:r w:rsidR="00480CF2">
              <w:rPr>
                <w:sz w:val="20"/>
                <w:szCs w:val="20"/>
              </w:rPr>
              <w:t>5</w:t>
            </w:r>
            <w:r>
              <w:rPr>
                <w:sz w:val="20"/>
                <w:szCs w:val="20"/>
              </w:rPr>
              <w:t>.0</w:t>
            </w:r>
          </w:p>
        </w:tc>
        <w:tc>
          <w:tcPr>
            <w:tcW w:w="246" w:type="dxa"/>
            <w:tcBorders>
              <w:left w:val="double" w:sz="4" w:space="0" w:color="auto"/>
              <w:right w:val="nil"/>
            </w:tcBorders>
            <w:shd w:val="clear" w:color="auto" w:fill="auto"/>
            <w:vAlign w:val="center"/>
          </w:tcPr>
          <w:p w:rsidR="00654A49" w:rsidRPr="00F03E38" w:rsidRDefault="00654A49" w:rsidP="003D411B">
            <w:pPr>
              <w:jc w:val="right"/>
              <w:rPr>
                <w:noProof/>
                <w:sz w:val="20"/>
                <w:szCs w:val="20"/>
              </w:rPr>
            </w:pPr>
          </w:p>
        </w:tc>
        <w:tc>
          <w:tcPr>
            <w:tcW w:w="928" w:type="dxa"/>
            <w:tcBorders>
              <w:left w:val="nil"/>
              <w:right w:val="double" w:sz="4" w:space="0" w:color="auto"/>
            </w:tcBorders>
            <w:vAlign w:val="center"/>
          </w:tcPr>
          <w:p w:rsidR="00654A49" w:rsidRPr="00F03E38" w:rsidRDefault="00654A49" w:rsidP="003D411B">
            <w:pPr>
              <w:jc w:val="right"/>
              <w:rPr>
                <w:noProof/>
                <w:sz w:val="20"/>
                <w:szCs w:val="20"/>
              </w:rPr>
            </w:pPr>
            <w:r>
              <w:rPr>
                <w:noProof/>
                <w:sz w:val="20"/>
                <w:szCs w:val="20"/>
              </w:rPr>
              <w:t>80.9</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Default="00654A49" w:rsidP="003D411B">
            <w:pPr>
              <w:jc w:val="right"/>
              <w:rPr>
                <w:noProof/>
              </w:rPr>
            </w:pPr>
          </w:p>
        </w:tc>
        <w:tc>
          <w:tcPr>
            <w:tcW w:w="928" w:type="dxa"/>
            <w:tcBorders>
              <w:left w:val="nil"/>
              <w:right w:val="double" w:sz="4" w:space="0" w:color="auto"/>
            </w:tcBorders>
            <w:vAlign w:val="center"/>
          </w:tcPr>
          <w:p w:rsidR="00654A49" w:rsidRDefault="00654A49" w:rsidP="003D411B">
            <w:pPr>
              <w:jc w:val="right"/>
              <w:rPr>
                <w:noProof/>
              </w:rPr>
            </w:pPr>
            <w:r>
              <w:rPr>
                <w:noProof/>
              </w:rPr>
              <w:t>70.4</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58.7</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1, 2, 3, 7, &amp; 9</w:t>
            </w:r>
          </w:p>
        </w:tc>
        <w:tc>
          <w:tcPr>
            <w:tcW w:w="5317" w:type="dxa"/>
            <w:tcBorders>
              <w:left w:val="double" w:sz="4" w:space="0" w:color="auto"/>
              <w:right w:val="double" w:sz="4" w:space="0" w:color="auto"/>
            </w:tcBorders>
            <w:vAlign w:val="center"/>
          </w:tcPr>
          <w:p w:rsidR="00654A49" w:rsidRPr="00F03E38" w:rsidRDefault="009244FE" w:rsidP="003D411B">
            <w:pPr>
              <w:rPr>
                <w:sz w:val="20"/>
                <w:szCs w:val="20"/>
              </w:rPr>
            </w:pPr>
            <w:hyperlink r:id="rId12" w:history="1">
              <w:r w:rsidR="00654A49" w:rsidRPr="005C523E">
                <w:rPr>
                  <w:rStyle w:val="Hyperlink"/>
                  <w:sz w:val="20"/>
                  <w:szCs w:val="20"/>
                </w:rPr>
                <w:t>Student Satisfaction</w:t>
              </w:r>
            </w:hyperlink>
            <w:r w:rsidR="00654A49">
              <w:rPr>
                <w:sz w:val="20"/>
                <w:szCs w:val="20"/>
              </w:rPr>
              <w:t xml:space="preserve"> (10 questions)</w:t>
            </w:r>
          </w:p>
        </w:tc>
        <w:tc>
          <w:tcPr>
            <w:tcW w:w="92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85.0</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88.4</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89.5</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2</w:t>
            </w:r>
          </w:p>
        </w:tc>
        <w:tc>
          <w:tcPr>
            <w:tcW w:w="5317" w:type="dxa"/>
            <w:tcBorders>
              <w:left w:val="double" w:sz="4" w:space="0" w:color="auto"/>
              <w:right w:val="double" w:sz="4" w:space="0" w:color="auto"/>
            </w:tcBorders>
            <w:vAlign w:val="center"/>
          </w:tcPr>
          <w:p w:rsidR="00654A49" w:rsidRPr="00F03E38" w:rsidRDefault="009244FE" w:rsidP="003D411B">
            <w:pPr>
              <w:rPr>
                <w:sz w:val="20"/>
                <w:szCs w:val="20"/>
              </w:rPr>
            </w:pPr>
            <w:hyperlink r:id="rId13" w:history="1">
              <w:r w:rsidR="00654A49" w:rsidRPr="005C523E">
                <w:rPr>
                  <w:rStyle w:val="Hyperlink"/>
                  <w:sz w:val="20"/>
                  <w:szCs w:val="20"/>
                </w:rPr>
                <w:t>Active and Collaborative Learning</w:t>
              </w:r>
            </w:hyperlink>
          </w:p>
        </w:tc>
        <w:tc>
          <w:tcPr>
            <w:tcW w:w="92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&gt;50</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55.7</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56.0</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3034A" w:rsidP="003D411B">
            <w:pPr>
              <w:jc w:val="right"/>
              <w:rPr>
                <w:sz w:val="20"/>
                <w:szCs w:val="20"/>
              </w:rPr>
            </w:pPr>
            <w:r>
              <w:rPr>
                <w:sz w:val="20"/>
                <w:szCs w:val="20"/>
              </w:rPr>
              <w:t>54.4</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2</w:t>
            </w:r>
          </w:p>
        </w:tc>
        <w:tc>
          <w:tcPr>
            <w:tcW w:w="5317" w:type="dxa"/>
            <w:tcBorders>
              <w:left w:val="double" w:sz="4" w:space="0" w:color="auto"/>
              <w:right w:val="double" w:sz="4" w:space="0" w:color="auto"/>
            </w:tcBorders>
            <w:vAlign w:val="center"/>
          </w:tcPr>
          <w:p w:rsidR="00654A49" w:rsidRPr="00F03E38" w:rsidRDefault="009244FE" w:rsidP="003D411B">
            <w:pPr>
              <w:rPr>
                <w:sz w:val="20"/>
                <w:szCs w:val="20"/>
              </w:rPr>
            </w:pPr>
            <w:hyperlink r:id="rId14" w:history="1">
              <w:r w:rsidR="00654A49" w:rsidRPr="005C523E">
                <w:rPr>
                  <w:rStyle w:val="Hyperlink"/>
                  <w:sz w:val="20"/>
                  <w:szCs w:val="20"/>
                </w:rPr>
                <w:t>Student Effort</w:t>
              </w:r>
            </w:hyperlink>
          </w:p>
        </w:tc>
        <w:tc>
          <w:tcPr>
            <w:tcW w:w="92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&gt;50</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53.6</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54.7</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3034A" w:rsidP="003D411B">
            <w:pPr>
              <w:jc w:val="right"/>
              <w:rPr>
                <w:sz w:val="20"/>
                <w:szCs w:val="20"/>
              </w:rPr>
            </w:pPr>
            <w:r>
              <w:rPr>
                <w:sz w:val="20"/>
                <w:szCs w:val="20"/>
              </w:rPr>
              <w:t>53.8</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2</w:t>
            </w:r>
          </w:p>
        </w:tc>
        <w:tc>
          <w:tcPr>
            <w:tcW w:w="5317" w:type="dxa"/>
            <w:tcBorders>
              <w:left w:val="double" w:sz="4" w:space="0" w:color="auto"/>
              <w:right w:val="double" w:sz="4" w:space="0" w:color="auto"/>
            </w:tcBorders>
            <w:vAlign w:val="center"/>
          </w:tcPr>
          <w:p w:rsidR="00654A49" w:rsidRPr="00F03E38" w:rsidRDefault="009244FE" w:rsidP="003D411B">
            <w:pPr>
              <w:rPr>
                <w:sz w:val="20"/>
                <w:szCs w:val="20"/>
              </w:rPr>
            </w:pPr>
            <w:hyperlink r:id="rId15" w:history="1">
              <w:r w:rsidR="00654A49" w:rsidRPr="005C523E">
                <w:rPr>
                  <w:rStyle w:val="Hyperlink"/>
                  <w:sz w:val="20"/>
                  <w:szCs w:val="20"/>
                </w:rPr>
                <w:t>Academic Challenge</w:t>
              </w:r>
            </w:hyperlink>
          </w:p>
        </w:tc>
        <w:tc>
          <w:tcPr>
            <w:tcW w:w="92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&gt;50</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53.2</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56.2</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3034A" w:rsidP="003D411B">
            <w:pPr>
              <w:jc w:val="right"/>
              <w:rPr>
                <w:sz w:val="20"/>
                <w:szCs w:val="20"/>
              </w:rPr>
            </w:pPr>
            <w:r>
              <w:rPr>
                <w:sz w:val="20"/>
                <w:szCs w:val="20"/>
              </w:rPr>
              <w:t>53.2</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2</w:t>
            </w:r>
          </w:p>
        </w:tc>
        <w:tc>
          <w:tcPr>
            <w:tcW w:w="5317" w:type="dxa"/>
            <w:tcBorders>
              <w:left w:val="double" w:sz="4" w:space="0" w:color="auto"/>
              <w:right w:val="double" w:sz="4" w:space="0" w:color="auto"/>
            </w:tcBorders>
            <w:vAlign w:val="center"/>
          </w:tcPr>
          <w:p w:rsidR="00654A49" w:rsidRPr="00F03E38" w:rsidRDefault="009244FE" w:rsidP="003D411B">
            <w:pPr>
              <w:rPr>
                <w:sz w:val="20"/>
                <w:szCs w:val="20"/>
              </w:rPr>
            </w:pPr>
            <w:hyperlink r:id="rId16" w:history="1">
              <w:r w:rsidR="00654A49" w:rsidRPr="005C523E">
                <w:rPr>
                  <w:rStyle w:val="Hyperlink"/>
                  <w:sz w:val="20"/>
                  <w:szCs w:val="20"/>
                </w:rPr>
                <w:t>Student-Faculty Interaction</w:t>
              </w:r>
            </w:hyperlink>
          </w:p>
        </w:tc>
        <w:tc>
          <w:tcPr>
            <w:tcW w:w="92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&gt;50</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50.8</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52.7</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3034A" w:rsidP="003D411B">
            <w:pPr>
              <w:jc w:val="right"/>
              <w:rPr>
                <w:sz w:val="20"/>
                <w:szCs w:val="20"/>
              </w:rPr>
            </w:pPr>
            <w:r>
              <w:rPr>
                <w:sz w:val="20"/>
                <w:szCs w:val="20"/>
              </w:rPr>
              <w:t>50.9</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2</w:t>
            </w:r>
          </w:p>
        </w:tc>
        <w:tc>
          <w:tcPr>
            <w:tcW w:w="5317" w:type="dxa"/>
            <w:tcBorders>
              <w:left w:val="double" w:sz="4" w:space="0" w:color="auto"/>
              <w:right w:val="double" w:sz="4" w:space="0" w:color="auto"/>
            </w:tcBorders>
            <w:vAlign w:val="center"/>
          </w:tcPr>
          <w:p w:rsidR="00654A49" w:rsidRPr="00F03E38" w:rsidRDefault="009244FE" w:rsidP="003D411B">
            <w:pPr>
              <w:rPr>
                <w:sz w:val="20"/>
                <w:szCs w:val="20"/>
              </w:rPr>
            </w:pPr>
            <w:hyperlink r:id="rId17" w:history="1">
              <w:r w:rsidR="00654A49" w:rsidRPr="005C523E">
                <w:rPr>
                  <w:rStyle w:val="Hyperlink"/>
                  <w:sz w:val="20"/>
                  <w:szCs w:val="20"/>
                </w:rPr>
                <w:t>Support for Learners</w:t>
              </w:r>
            </w:hyperlink>
          </w:p>
        </w:tc>
        <w:tc>
          <w:tcPr>
            <w:tcW w:w="92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&gt;50</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49.9</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51.9</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3034A" w:rsidP="003D411B">
            <w:pPr>
              <w:jc w:val="right"/>
              <w:rPr>
                <w:sz w:val="20"/>
                <w:szCs w:val="20"/>
              </w:rPr>
            </w:pPr>
            <w:r>
              <w:rPr>
                <w:sz w:val="20"/>
                <w:szCs w:val="20"/>
              </w:rPr>
              <w:t>52.1</w:t>
            </w:r>
          </w:p>
        </w:tc>
      </w:tr>
      <w:tr w:rsidR="00AA45D7" w:rsidRPr="00F03E38" w:rsidTr="00626C97">
        <w:tc>
          <w:tcPr>
            <w:tcW w:w="168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3</w:t>
            </w:r>
          </w:p>
        </w:tc>
        <w:tc>
          <w:tcPr>
            <w:tcW w:w="5317" w:type="dxa"/>
            <w:tcBorders>
              <w:left w:val="double" w:sz="4" w:space="0" w:color="auto"/>
              <w:right w:val="double" w:sz="4" w:space="0" w:color="auto"/>
            </w:tcBorders>
            <w:vAlign w:val="center"/>
          </w:tcPr>
          <w:p w:rsidR="00654A49" w:rsidRDefault="00654A49" w:rsidP="003D411B">
            <w:pPr>
              <w:rPr>
                <w:sz w:val="20"/>
                <w:szCs w:val="20"/>
              </w:rPr>
            </w:pPr>
            <w:r>
              <w:rPr>
                <w:sz w:val="20"/>
                <w:szCs w:val="20"/>
              </w:rPr>
              <w:t>Percent of Students Meeting ILOs</w:t>
            </w:r>
          </w:p>
        </w:tc>
        <w:tc>
          <w:tcPr>
            <w:tcW w:w="92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80.3</w:t>
            </w:r>
          </w:p>
        </w:tc>
        <w:tc>
          <w:tcPr>
            <w:tcW w:w="246"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79.1</w:t>
            </w:r>
          </w:p>
        </w:tc>
        <w:tc>
          <w:tcPr>
            <w:tcW w:w="237"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80.2</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77.3</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77.4</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79.6</w:t>
            </w:r>
          </w:p>
        </w:tc>
      </w:tr>
      <w:tr w:rsidR="00AA45D7" w:rsidRPr="00F03E38" w:rsidTr="00626C97">
        <w:tc>
          <w:tcPr>
            <w:tcW w:w="168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4</w:t>
            </w:r>
          </w:p>
        </w:tc>
        <w:tc>
          <w:tcPr>
            <w:tcW w:w="5317" w:type="dxa"/>
            <w:tcBorders>
              <w:left w:val="double" w:sz="4" w:space="0" w:color="auto"/>
              <w:right w:val="double" w:sz="4" w:space="0" w:color="auto"/>
            </w:tcBorders>
            <w:vAlign w:val="center"/>
          </w:tcPr>
          <w:p w:rsidR="00654A49" w:rsidRDefault="00654A49" w:rsidP="003D411B">
            <w:pPr>
              <w:rPr>
                <w:sz w:val="20"/>
                <w:szCs w:val="20"/>
              </w:rPr>
            </w:pPr>
            <w:r>
              <w:rPr>
                <w:sz w:val="20"/>
                <w:szCs w:val="20"/>
              </w:rPr>
              <w:t>Fall Unduplicated Headcount</w:t>
            </w:r>
          </w:p>
        </w:tc>
        <w:tc>
          <w:tcPr>
            <w:tcW w:w="928" w:type="dxa"/>
            <w:tcBorders>
              <w:left w:val="double" w:sz="4" w:space="0" w:color="auto"/>
              <w:right w:val="double" w:sz="4" w:space="0" w:color="auto"/>
            </w:tcBorders>
            <w:vAlign w:val="center"/>
          </w:tcPr>
          <w:p w:rsidR="00654A49" w:rsidRPr="00F03E38" w:rsidRDefault="00654A49" w:rsidP="00E25CDF">
            <w:pPr>
              <w:jc w:val="center"/>
              <w:rPr>
                <w:sz w:val="20"/>
                <w:szCs w:val="20"/>
              </w:rPr>
            </w:pPr>
            <w:r>
              <w:rPr>
                <w:sz w:val="20"/>
                <w:szCs w:val="20"/>
              </w:rPr>
              <w:t>5,</w:t>
            </w:r>
            <w:r w:rsidR="00E25CDF">
              <w:rPr>
                <w:sz w:val="20"/>
                <w:szCs w:val="20"/>
              </w:rPr>
              <w:t>927</w:t>
            </w:r>
          </w:p>
        </w:tc>
        <w:tc>
          <w:tcPr>
            <w:tcW w:w="246"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5,276</w:t>
            </w:r>
          </w:p>
        </w:tc>
        <w:tc>
          <w:tcPr>
            <w:tcW w:w="237"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5,666</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5,850</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5,751</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5,811</w:t>
            </w:r>
          </w:p>
        </w:tc>
      </w:tr>
      <w:tr w:rsidR="00626C97" w:rsidRPr="00F03E38" w:rsidTr="00626C97">
        <w:tc>
          <w:tcPr>
            <w:tcW w:w="168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4</w:t>
            </w:r>
          </w:p>
        </w:tc>
        <w:tc>
          <w:tcPr>
            <w:tcW w:w="5317" w:type="dxa"/>
            <w:tcBorders>
              <w:left w:val="double" w:sz="4" w:space="0" w:color="auto"/>
              <w:right w:val="double" w:sz="4" w:space="0" w:color="auto"/>
            </w:tcBorders>
            <w:vAlign w:val="center"/>
          </w:tcPr>
          <w:p w:rsidR="00654A49" w:rsidRDefault="00654A49" w:rsidP="003D411B">
            <w:pPr>
              <w:rPr>
                <w:sz w:val="20"/>
                <w:szCs w:val="20"/>
              </w:rPr>
            </w:pPr>
            <w:r>
              <w:rPr>
                <w:sz w:val="20"/>
                <w:szCs w:val="20"/>
              </w:rPr>
              <w:t>Annual Credit 320 FTES</w:t>
            </w:r>
          </w:p>
        </w:tc>
        <w:tc>
          <w:tcPr>
            <w:tcW w:w="92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4,519</w:t>
            </w:r>
          </w:p>
        </w:tc>
        <w:tc>
          <w:tcPr>
            <w:tcW w:w="246"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654A49" w:rsidP="003D411B">
            <w:pPr>
              <w:jc w:val="right"/>
              <w:rPr>
                <w:sz w:val="20"/>
                <w:szCs w:val="20"/>
              </w:rPr>
            </w:pPr>
            <w:r>
              <w:rPr>
                <w:sz w:val="20"/>
                <w:szCs w:val="20"/>
              </w:rPr>
              <w:t>3,830</w:t>
            </w:r>
          </w:p>
        </w:tc>
        <w:tc>
          <w:tcPr>
            <w:tcW w:w="237"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E775DF" w:rsidP="003D411B">
            <w:pPr>
              <w:jc w:val="right"/>
              <w:rPr>
                <w:sz w:val="20"/>
                <w:szCs w:val="20"/>
              </w:rPr>
            </w:pPr>
            <w:r>
              <w:rPr>
                <w:sz w:val="20"/>
                <w:szCs w:val="20"/>
              </w:rPr>
              <w:t>4,498</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E775DF" w:rsidP="003D411B">
            <w:pPr>
              <w:jc w:val="right"/>
              <w:rPr>
                <w:sz w:val="20"/>
                <w:szCs w:val="20"/>
              </w:rPr>
            </w:pPr>
            <w:r>
              <w:rPr>
                <w:sz w:val="20"/>
                <w:szCs w:val="20"/>
              </w:rPr>
              <w:t>4,295</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E775DF" w:rsidP="003D411B">
            <w:pPr>
              <w:jc w:val="right"/>
              <w:rPr>
                <w:sz w:val="20"/>
                <w:szCs w:val="20"/>
              </w:rPr>
            </w:pPr>
            <w:r>
              <w:rPr>
                <w:sz w:val="20"/>
                <w:szCs w:val="20"/>
              </w:rPr>
              <w:t>4,778</w:t>
            </w:r>
          </w:p>
        </w:tc>
        <w:tc>
          <w:tcPr>
            <w:tcW w:w="231" w:type="dxa"/>
            <w:tcBorders>
              <w:left w:val="double" w:sz="4" w:space="0" w:color="auto"/>
              <w:right w:val="nil"/>
            </w:tcBorders>
            <w:shd w:val="clear" w:color="auto" w:fill="auto"/>
            <w:vAlign w:val="center"/>
          </w:tcPr>
          <w:p w:rsidR="00654A49" w:rsidRDefault="00654A49" w:rsidP="003D411B">
            <w:pPr>
              <w:jc w:val="right"/>
              <w:rPr>
                <w:sz w:val="20"/>
                <w:szCs w:val="20"/>
              </w:rPr>
            </w:pPr>
          </w:p>
        </w:tc>
        <w:tc>
          <w:tcPr>
            <w:tcW w:w="928" w:type="dxa"/>
            <w:tcBorders>
              <w:left w:val="nil"/>
              <w:right w:val="double" w:sz="4" w:space="0" w:color="auto"/>
            </w:tcBorders>
            <w:vAlign w:val="center"/>
          </w:tcPr>
          <w:p w:rsidR="00654A49" w:rsidRDefault="00E775DF" w:rsidP="003D411B">
            <w:pPr>
              <w:jc w:val="right"/>
              <w:rPr>
                <w:sz w:val="20"/>
                <w:szCs w:val="20"/>
              </w:rPr>
            </w:pPr>
            <w:r>
              <w:rPr>
                <w:sz w:val="20"/>
                <w:szCs w:val="20"/>
              </w:rPr>
              <w:t>4,178</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2, 4, &amp; 5</w:t>
            </w:r>
          </w:p>
        </w:tc>
        <w:tc>
          <w:tcPr>
            <w:tcW w:w="5317" w:type="dxa"/>
            <w:tcBorders>
              <w:left w:val="double" w:sz="4" w:space="0" w:color="auto"/>
              <w:right w:val="double" w:sz="4" w:space="0" w:color="auto"/>
            </w:tcBorders>
            <w:vAlign w:val="center"/>
          </w:tcPr>
          <w:p w:rsidR="00654A49" w:rsidRPr="00F03E38" w:rsidRDefault="00654A49" w:rsidP="006D75A5">
            <w:pPr>
              <w:rPr>
                <w:sz w:val="20"/>
                <w:szCs w:val="20"/>
              </w:rPr>
            </w:pPr>
            <w:r>
              <w:rPr>
                <w:sz w:val="20"/>
                <w:szCs w:val="20"/>
              </w:rPr>
              <w:t xml:space="preserve">Demographic Diversity: </w:t>
            </w:r>
            <w:r w:rsidR="006D75A5">
              <w:rPr>
                <w:sz w:val="20"/>
                <w:szCs w:val="20"/>
              </w:rPr>
              <w:t>% of AA, Hispanic, and N.A Students</w:t>
            </w:r>
          </w:p>
        </w:tc>
        <w:tc>
          <w:tcPr>
            <w:tcW w:w="92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54.8</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45.4</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50.8</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53.0</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54.1</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55.2</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2, 4, &amp; 5</w:t>
            </w:r>
          </w:p>
        </w:tc>
        <w:tc>
          <w:tcPr>
            <w:tcW w:w="5317" w:type="dxa"/>
            <w:tcBorders>
              <w:left w:val="double" w:sz="4" w:space="0" w:color="auto"/>
              <w:right w:val="double" w:sz="4" w:space="0" w:color="auto"/>
            </w:tcBorders>
            <w:vAlign w:val="center"/>
          </w:tcPr>
          <w:p w:rsidR="00654A49" w:rsidRPr="00F03E38" w:rsidRDefault="00654A49" w:rsidP="003D411B">
            <w:pPr>
              <w:rPr>
                <w:sz w:val="20"/>
                <w:szCs w:val="20"/>
              </w:rPr>
            </w:pPr>
            <w:r>
              <w:rPr>
                <w:sz w:val="20"/>
                <w:szCs w:val="20"/>
              </w:rPr>
              <w:t>Demographic Diversity: Percent Female</w:t>
            </w:r>
          </w:p>
        </w:tc>
        <w:tc>
          <w:tcPr>
            <w:tcW w:w="92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52.0</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51.6</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52.3</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53.7</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52.8</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54.2</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2, 4, &amp; 5</w:t>
            </w:r>
          </w:p>
        </w:tc>
        <w:tc>
          <w:tcPr>
            <w:tcW w:w="5317" w:type="dxa"/>
            <w:tcBorders>
              <w:left w:val="double" w:sz="4" w:space="0" w:color="auto"/>
              <w:right w:val="double" w:sz="4" w:space="0" w:color="auto"/>
            </w:tcBorders>
            <w:vAlign w:val="center"/>
          </w:tcPr>
          <w:p w:rsidR="00654A49" w:rsidRPr="00F03E38" w:rsidRDefault="00654A49" w:rsidP="003D411B">
            <w:pPr>
              <w:rPr>
                <w:sz w:val="20"/>
                <w:szCs w:val="20"/>
              </w:rPr>
            </w:pPr>
            <w:r>
              <w:rPr>
                <w:sz w:val="20"/>
                <w:szCs w:val="20"/>
              </w:rPr>
              <w:t>Demographic Diversity: Average Age</w:t>
            </w:r>
          </w:p>
        </w:tc>
        <w:tc>
          <w:tcPr>
            <w:tcW w:w="92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25</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24.0</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24.0</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23.7</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23.7</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23.1</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4 &amp; 5</w:t>
            </w:r>
          </w:p>
        </w:tc>
        <w:tc>
          <w:tcPr>
            <w:tcW w:w="5317" w:type="dxa"/>
            <w:tcBorders>
              <w:left w:val="double" w:sz="4" w:space="0" w:color="auto"/>
              <w:right w:val="double" w:sz="4" w:space="0" w:color="auto"/>
            </w:tcBorders>
            <w:vAlign w:val="center"/>
          </w:tcPr>
          <w:p w:rsidR="00654A49" w:rsidRPr="00F03E38" w:rsidRDefault="009244FE" w:rsidP="003D411B">
            <w:pPr>
              <w:rPr>
                <w:sz w:val="20"/>
                <w:szCs w:val="20"/>
              </w:rPr>
            </w:pPr>
            <w:hyperlink r:id="rId18" w:history="1">
              <w:r w:rsidR="00654A49" w:rsidRPr="0008714F">
                <w:rPr>
                  <w:rStyle w:val="Hyperlink"/>
                  <w:sz w:val="20"/>
                  <w:szCs w:val="20"/>
                </w:rPr>
                <w:t>Fall Capture Rate</w:t>
              </w:r>
            </w:hyperlink>
            <w:r w:rsidR="00654A49">
              <w:rPr>
                <w:sz w:val="20"/>
                <w:szCs w:val="20"/>
              </w:rPr>
              <w:t xml:space="preserve"> (7 cities)</w:t>
            </w:r>
          </w:p>
        </w:tc>
        <w:tc>
          <w:tcPr>
            <w:tcW w:w="928" w:type="dxa"/>
            <w:tcBorders>
              <w:left w:val="double" w:sz="4" w:space="0" w:color="auto"/>
              <w:right w:val="double" w:sz="4" w:space="0" w:color="auto"/>
            </w:tcBorders>
            <w:vAlign w:val="center"/>
          </w:tcPr>
          <w:p w:rsidR="00654A49" w:rsidRPr="00F03E38" w:rsidRDefault="00AE7B32" w:rsidP="003D411B">
            <w:pPr>
              <w:jc w:val="center"/>
              <w:rPr>
                <w:sz w:val="20"/>
                <w:szCs w:val="20"/>
              </w:rPr>
            </w:pPr>
            <w:r>
              <w:rPr>
                <w:sz w:val="20"/>
                <w:szCs w:val="20"/>
              </w:rPr>
              <w:t>49.6</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654A49" w:rsidRPr="00F03E38" w:rsidRDefault="00654A49" w:rsidP="003D411B">
            <w:pPr>
              <w:jc w:val="right"/>
              <w:rPr>
                <w:sz w:val="20"/>
                <w:szCs w:val="20"/>
              </w:rPr>
            </w:pP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E65E34" w:rsidP="003D411B">
            <w:pPr>
              <w:jc w:val="right"/>
              <w:rPr>
                <w:sz w:val="20"/>
                <w:szCs w:val="20"/>
              </w:rPr>
            </w:pPr>
            <w:r>
              <w:rPr>
                <w:sz w:val="20"/>
                <w:szCs w:val="20"/>
              </w:rPr>
              <w:t>51</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E65E34" w:rsidP="003D411B">
            <w:pPr>
              <w:jc w:val="right"/>
              <w:rPr>
                <w:sz w:val="20"/>
                <w:szCs w:val="20"/>
              </w:rPr>
            </w:pPr>
            <w:r>
              <w:rPr>
                <w:sz w:val="20"/>
                <w:szCs w:val="20"/>
              </w:rPr>
              <w:t>49</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E65E34" w:rsidP="003D411B">
            <w:pPr>
              <w:jc w:val="right"/>
              <w:rPr>
                <w:sz w:val="20"/>
                <w:szCs w:val="20"/>
              </w:rPr>
            </w:pPr>
            <w:r>
              <w:rPr>
                <w:sz w:val="20"/>
                <w:szCs w:val="20"/>
              </w:rPr>
              <w:t>49</w:t>
            </w:r>
          </w:p>
        </w:tc>
      </w:tr>
      <w:tr w:rsidR="00AA45D7" w:rsidRPr="00F03E38" w:rsidTr="00626C97">
        <w:tc>
          <w:tcPr>
            <w:tcW w:w="1688" w:type="dxa"/>
            <w:tcBorders>
              <w:left w:val="double" w:sz="4" w:space="0" w:color="auto"/>
              <w:right w:val="double" w:sz="4" w:space="0" w:color="auto"/>
            </w:tcBorders>
            <w:vAlign w:val="center"/>
          </w:tcPr>
          <w:p w:rsidR="00E65E34" w:rsidRDefault="00E65E34" w:rsidP="003D411B">
            <w:pPr>
              <w:jc w:val="center"/>
              <w:rPr>
                <w:sz w:val="20"/>
                <w:szCs w:val="20"/>
              </w:rPr>
            </w:pPr>
            <w:r>
              <w:rPr>
                <w:sz w:val="20"/>
                <w:szCs w:val="20"/>
              </w:rPr>
              <w:t>5</w:t>
            </w:r>
          </w:p>
        </w:tc>
        <w:tc>
          <w:tcPr>
            <w:tcW w:w="5317" w:type="dxa"/>
            <w:tcBorders>
              <w:left w:val="double" w:sz="4" w:space="0" w:color="auto"/>
              <w:right w:val="double" w:sz="4" w:space="0" w:color="auto"/>
            </w:tcBorders>
            <w:vAlign w:val="center"/>
          </w:tcPr>
          <w:p w:rsidR="00E65E34" w:rsidRDefault="00B67D97" w:rsidP="003D411B">
            <w:pPr>
              <w:rPr>
                <w:sz w:val="20"/>
                <w:szCs w:val="20"/>
              </w:rPr>
            </w:pPr>
            <w:r>
              <w:rPr>
                <w:sz w:val="20"/>
                <w:szCs w:val="20"/>
              </w:rPr>
              <w:t>%</w:t>
            </w:r>
            <w:r w:rsidR="00E65E34">
              <w:rPr>
                <w:sz w:val="20"/>
                <w:szCs w:val="20"/>
              </w:rPr>
              <w:t xml:space="preserve"> of Students with Increase in Wages (Skills Builder)</w:t>
            </w:r>
          </w:p>
        </w:tc>
        <w:tc>
          <w:tcPr>
            <w:tcW w:w="928" w:type="dxa"/>
            <w:tcBorders>
              <w:left w:val="double" w:sz="4" w:space="0" w:color="auto"/>
              <w:right w:val="double" w:sz="4" w:space="0" w:color="auto"/>
            </w:tcBorders>
            <w:vAlign w:val="center"/>
          </w:tcPr>
          <w:p w:rsidR="00E65E34" w:rsidRDefault="00AE7B32" w:rsidP="003D411B">
            <w:pPr>
              <w:jc w:val="center"/>
              <w:rPr>
                <w:sz w:val="20"/>
                <w:szCs w:val="20"/>
              </w:rPr>
            </w:pPr>
            <w:r>
              <w:rPr>
                <w:sz w:val="20"/>
                <w:szCs w:val="20"/>
              </w:rPr>
              <w:t>25.5</w:t>
            </w:r>
          </w:p>
        </w:tc>
        <w:tc>
          <w:tcPr>
            <w:tcW w:w="246" w:type="dxa"/>
            <w:tcBorders>
              <w:left w:val="double" w:sz="4" w:space="0" w:color="auto"/>
              <w:right w:val="nil"/>
            </w:tcBorders>
            <w:shd w:val="clear" w:color="auto" w:fill="auto"/>
            <w:vAlign w:val="center"/>
          </w:tcPr>
          <w:p w:rsidR="00E65E34" w:rsidRPr="00F03E38" w:rsidRDefault="00E65E34" w:rsidP="003D411B">
            <w:pPr>
              <w:jc w:val="right"/>
              <w:rPr>
                <w:sz w:val="20"/>
                <w:szCs w:val="20"/>
              </w:rPr>
            </w:pPr>
          </w:p>
        </w:tc>
        <w:tc>
          <w:tcPr>
            <w:tcW w:w="928" w:type="dxa"/>
            <w:tcBorders>
              <w:left w:val="nil"/>
              <w:right w:val="double" w:sz="4" w:space="0" w:color="auto"/>
            </w:tcBorders>
            <w:shd w:val="clear" w:color="auto" w:fill="auto"/>
            <w:vAlign w:val="center"/>
          </w:tcPr>
          <w:p w:rsidR="00E65E34" w:rsidRPr="00F03E38" w:rsidRDefault="00E65E34" w:rsidP="003D411B">
            <w:pPr>
              <w:jc w:val="right"/>
              <w:rPr>
                <w:sz w:val="20"/>
                <w:szCs w:val="20"/>
              </w:rPr>
            </w:pPr>
            <w:r>
              <w:rPr>
                <w:sz w:val="20"/>
                <w:szCs w:val="20"/>
              </w:rPr>
              <w:t>10</w:t>
            </w:r>
          </w:p>
        </w:tc>
        <w:tc>
          <w:tcPr>
            <w:tcW w:w="237" w:type="dxa"/>
            <w:tcBorders>
              <w:left w:val="double" w:sz="4" w:space="0" w:color="auto"/>
              <w:right w:val="nil"/>
            </w:tcBorders>
            <w:shd w:val="clear" w:color="auto" w:fill="auto"/>
            <w:vAlign w:val="center"/>
          </w:tcPr>
          <w:p w:rsidR="00E65E34" w:rsidRPr="00F03E38" w:rsidRDefault="00E65E34" w:rsidP="003D411B">
            <w:pPr>
              <w:jc w:val="right"/>
              <w:rPr>
                <w:sz w:val="20"/>
                <w:szCs w:val="20"/>
              </w:rPr>
            </w:pPr>
          </w:p>
        </w:tc>
        <w:tc>
          <w:tcPr>
            <w:tcW w:w="928" w:type="dxa"/>
            <w:tcBorders>
              <w:left w:val="nil"/>
              <w:right w:val="double" w:sz="4" w:space="0" w:color="auto"/>
            </w:tcBorders>
            <w:shd w:val="clear" w:color="auto" w:fill="auto"/>
            <w:vAlign w:val="center"/>
          </w:tcPr>
          <w:p w:rsidR="00E65E34" w:rsidRPr="00F03E38" w:rsidRDefault="00E65E34" w:rsidP="003D411B">
            <w:pPr>
              <w:jc w:val="right"/>
              <w:rPr>
                <w:sz w:val="20"/>
                <w:szCs w:val="20"/>
              </w:rPr>
            </w:pPr>
            <w:r>
              <w:rPr>
                <w:sz w:val="20"/>
                <w:szCs w:val="20"/>
              </w:rPr>
              <w:t>14</w:t>
            </w:r>
          </w:p>
        </w:tc>
        <w:tc>
          <w:tcPr>
            <w:tcW w:w="231" w:type="dxa"/>
            <w:tcBorders>
              <w:left w:val="double" w:sz="4" w:space="0" w:color="auto"/>
              <w:right w:val="nil"/>
            </w:tcBorders>
            <w:shd w:val="clear" w:color="auto" w:fill="auto"/>
            <w:vAlign w:val="center"/>
          </w:tcPr>
          <w:p w:rsidR="00E65E34" w:rsidRPr="00F03E38" w:rsidRDefault="00E65E34" w:rsidP="003D411B">
            <w:pPr>
              <w:jc w:val="right"/>
              <w:rPr>
                <w:sz w:val="20"/>
                <w:szCs w:val="20"/>
              </w:rPr>
            </w:pPr>
          </w:p>
        </w:tc>
        <w:tc>
          <w:tcPr>
            <w:tcW w:w="928" w:type="dxa"/>
            <w:tcBorders>
              <w:left w:val="nil"/>
              <w:right w:val="double" w:sz="4" w:space="0" w:color="auto"/>
            </w:tcBorders>
            <w:vAlign w:val="center"/>
          </w:tcPr>
          <w:p w:rsidR="00E65E34" w:rsidRDefault="00E65E34" w:rsidP="003D411B">
            <w:pPr>
              <w:jc w:val="right"/>
              <w:rPr>
                <w:sz w:val="20"/>
                <w:szCs w:val="20"/>
              </w:rPr>
            </w:pPr>
            <w:r>
              <w:rPr>
                <w:sz w:val="20"/>
                <w:szCs w:val="20"/>
              </w:rPr>
              <w:t>16</w:t>
            </w:r>
          </w:p>
        </w:tc>
        <w:tc>
          <w:tcPr>
            <w:tcW w:w="231" w:type="dxa"/>
            <w:tcBorders>
              <w:left w:val="double" w:sz="4" w:space="0" w:color="auto"/>
              <w:right w:val="nil"/>
            </w:tcBorders>
            <w:shd w:val="clear" w:color="auto" w:fill="auto"/>
            <w:vAlign w:val="center"/>
          </w:tcPr>
          <w:p w:rsidR="00E65E34" w:rsidRPr="00F03E38" w:rsidRDefault="00E65E34" w:rsidP="003D411B">
            <w:pPr>
              <w:jc w:val="right"/>
              <w:rPr>
                <w:sz w:val="20"/>
                <w:szCs w:val="20"/>
              </w:rPr>
            </w:pPr>
          </w:p>
        </w:tc>
        <w:tc>
          <w:tcPr>
            <w:tcW w:w="928" w:type="dxa"/>
            <w:tcBorders>
              <w:left w:val="nil"/>
              <w:right w:val="double" w:sz="4" w:space="0" w:color="auto"/>
            </w:tcBorders>
            <w:vAlign w:val="center"/>
          </w:tcPr>
          <w:p w:rsidR="00E65E34" w:rsidRDefault="00E65E34" w:rsidP="003D411B">
            <w:pPr>
              <w:jc w:val="right"/>
              <w:rPr>
                <w:sz w:val="20"/>
                <w:szCs w:val="20"/>
              </w:rPr>
            </w:pPr>
            <w:r>
              <w:rPr>
                <w:sz w:val="20"/>
                <w:szCs w:val="20"/>
              </w:rPr>
              <w:t>19</w:t>
            </w:r>
          </w:p>
        </w:tc>
        <w:tc>
          <w:tcPr>
            <w:tcW w:w="231" w:type="dxa"/>
            <w:tcBorders>
              <w:left w:val="double" w:sz="4" w:space="0" w:color="auto"/>
              <w:right w:val="nil"/>
            </w:tcBorders>
            <w:shd w:val="clear" w:color="auto" w:fill="auto"/>
            <w:vAlign w:val="center"/>
          </w:tcPr>
          <w:p w:rsidR="00E65E34" w:rsidRPr="00F03E38" w:rsidRDefault="00E65E34" w:rsidP="003D411B">
            <w:pPr>
              <w:jc w:val="right"/>
              <w:rPr>
                <w:sz w:val="20"/>
                <w:szCs w:val="20"/>
              </w:rPr>
            </w:pPr>
          </w:p>
        </w:tc>
        <w:tc>
          <w:tcPr>
            <w:tcW w:w="928" w:type="dxa"/>
            <w:tcBorders>
              <w:left w:val="nil"/>
              <w:right w:val="double" w:sz="4" w:space="0" w:color="auto"/>
            </w:tcBorders>
            <w:vAlign w:val="center"/>
          </w:tcPr>
          <w:p w:rsidR="00E65E34" w:rsidRDefault="00E65E34" w:rsidP="003D411B">
            <w:pPr>
              <w:jc w:val="right"/>
              <w:rPr>
                <w:sz w:val="20"/>
                <w:szCs w:val="20"/>
              </w:rPr>
            </w:pPr>
            <w:r>
              <w:rPr>
                <w:sz w:val="20"/>
                <w:szCs w:val="20"/>
              </w:rPr>
              <w:t>23</w:t>
            </w:r>
          </w:p>
        </w:tc>
      </w:tr>
      <w:tr w:rsidR="00AA45D7" w:rsidRPr="00F03E38" w:rsidTr="00626C97">
        <w:tc>
          <w:tcPr>
            <w:tcW w:w="1688" w:type="dxa"/>
            <w:tcBorders>
              <w:left w:val="double" w:sz="4" w:space="0" w:color="auto"/>
              <w:right w:val="double" w:sz="4" w:space="0" w:color="auto"/>
            </w:tcBorders>
            <w:vAlign w:val="center"/>
          </w:tcPr>
          <w:p w:rsidR="00654A49" w:rsidRPr="00F03E38" w:rsidRDefault="00654A49" w:rsidP="003D411B">
            <w:pPr>
              <w:jc w:val="center"/>
              <w:rPr>
                <w:sz w:val="20"/>
                <w:szCs w:val="20"/>
              </w:rPr>
            </w:pPr>
            <w:r>
              <w:rPr>
                <w:sz w:val="20"/>
                <w:szCs w:val="20"/>
              </w:rPr>
              <w:t>6 &amp; 8</w:t>
            </w:r>
          </w:p>
        </w:tc>
        <w:tc>
          <w:tcPr>
            <w:tcW w:w="5317" w:type="dxa"/>
            <w:tcBorders>
              <w:left w:val="double" w:sz="4" w:space="0" w:color="auto"/>
              <w:right w:val="double" w:sz="4" w:space="0" w:color="auto"/>
            </w:tcBorders>
            <w:vAlign w:val="center"/>
          </w:tcPr>
          <w:p w:rsidR="00654A49" w:rsidRDefault="009244FE" w:rsidP="003D411B">
            <w:pPr>
              <w:rPr>
                <w:sz w:val="20"/>
                <w:szCs w:val="20"/>
              </w:rPr>
            </w:pPr>
            <w:hyperlink r:id="rId19" w:history="1">
              <w:r w:rsidR="00654A49" w:rsidRPr="005C523E">
                <w:rPr>
                  <w:rStyle w:val="Hyperlink"/>
                  <w:sz w:val="20"/>
                  <w:szCs w:val="20"/>
                </w:rPr>
                <w:t>Committee Self-Evaluations</w:t>
              </w:r>
            </w:hyperlink>
            <w:r w:rsidR="00654A49">
              <w:rPr>
                <w:sz w:val="20"/>
                <w:szCs w:val="20"/>
              </w:rPr>
              <w:t xml:space="preserve"> (5 questions)</w:t>
            </w:r>
          </w:p>
        </w:tc>
        <w:tc>
          <w:tcPr>
            <w:tcW w:w="928" w:type="dxa"/>
            <w:tcBorders>
              <w:left w:val="double" w:sz="4" w:space="0" w:color="auto"/>
              <w:right w:val="double" w:sz="4" w:space="0" w:color="auto"/>
            </w:tcBorders>
            <w:vAlign w:val="center"/>
          </w:tcPr>
          <w:p w:rsidR="00654A49" w:rsidRPr="00F03E38" w:rsidRDefault="00BC1221" w:rsidP="003D411B">
            <w:pPr>
              <w:jc w:val="center"/>
              <w:rPr>
                <w:sz w:val="20"/>
                <w:szCs w:val="20"/>
              </w:rPr>
            </w:pPr>
            <w:r>
              <w:rPr>
                <w:sz w:val="20"/>
                <w:szCs w:val="20"/>
              </w:rPr>
              <w:t>85.4</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91.6</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86.8</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90.6</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654A49" w:rsidP="003D411B">
            <w:pPr>
              <w:jc w:val="right"/>
              <w:rPr>
                <w:sz w:val="20"/>
                <w:szCs w:val="20"/>
              </w:rPr>
            </w:pPr>
            <w:r>
              <w:rPr>
                <w:sz w:val="20"/>
                <w:szCs w:val="20"/>
              </w:rPr>
              <w:t>95.8</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24B7D" w:rsidP="003D411B">
            <w:pPr>
              <w:jc w:val="right"/>
              <w:rPr>
                <w:sz w:val="20"/>
                <w:szCs w:val="20"/>
              </w:rPr>
            </w:pPr>
            <w:r>
              <w:rPr>
                <w:sz w:val="20"/>
                <w:szCs w:val="20"/>
              </w:rPr>
              <w:t>82.9</w:t>
            </w:r>
          </w:p>
        </w:tc>
      </w:tr>
      <w:tr w:rsidR="00AA45D7" w:rsidRPr="00F03E38" w:rsidTr="00626C97">
        <w:tc>
          <w:tcPr>
            <w:tcW w:w="168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7</w:t>
            </w:r>
          </w:p>
        </w:tc>
        <w:tc>
          <w:tcPr>
            <w:tcW w:w="5317" w:type="dxa"/>
            <w:tcBorders>
              <w:left w:val="double" w:sz="4" w:space="0" w:color="auto"/>
              <w:right w:val="double" w:sz="4" w:space="0" w:color="auto"/>
            </w:tcBorders>
            <w:vAlign w:val="center"/>
          </w:tcPr>
          <w:p w:rsidR="00654A49" w:rsidRDefault="009244FE" w:rsidP="000360FC">
            <w:pPr>
              <w:rPr>
                <w:sz w:val="20"/>
                <w:szCs w:val="20"/>
              </w:rPr>
            </w:pPr>
            <w:hyperlink r:id="rId20" w:history="1">
              <w:r w:rsidR="00654A49" w:rsidRPr="000360FC">
                <w:rPr>
                  <w:rStyle w:val="Hyperlink"/>
                  <w:sz w:val="20"/>
                  <w:szCs w:val="20"/>
                </w:rPr>
                <w:t>75/25 Ratio (FT/PT Ratio)</w:t>
              </w:r>
            </w:hyperlink>
            <w:r w:rsidR="000360FC">
              <w:rPr>
                <w:sz w:val="20"/>
                <w:szCs w:val="20"/>
              </w:rPr>
              <w:t xml:space="preserve"> – Ultimate Target is 75</w:t>
            </w:r>
          </w:p>
        </w:tc>
        <w:tc>
          <w:tcPr>
            <w:tcW w:w="928" w:type="dxa"/>
            <w:tcBorders>
              <w:left w:val="double" w:sz="4" w:space="0" w:color="auto"/>
              <w:right w:val="double" w:sz="4" w:space="0" w:color="auto"/>
            </w:tcBorders>
            <w:vAlign w:val="center"/>
          </w:tcPr>
          <w:p w:rsidR="00654A49" w:rsidRPr="00F03E38" w:rsidRDefault="00351B5D" w:rsidP="003D411B">
            <w:pPr>
              <w:jc w:val="center"/>
              <w:rPr>
                <w:sz w:val="20"/>
                <w:szCs w:val="20"/>
              </w:rPr>
            </w:pPr>
            <w:r>
              <w:rPr>
                <w:sz w:val="20"/>
                <w:szCs w:val="20"/>
              </w:rPr>
              <w:t>37.8</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FE3F43" w:rsidP="003D411B">
            <w:pPr>
              <w:jc w:val="right"/>
              <w:rPr>
                <w:sz w:val="20"/>
                <w:szCs w:val="20"/>
              </w:rPr>
            </w:pPr>
            <w:r>
              <w:rPr>
                <w:sz w:val="20"/>
                <w:szCs w:val="20"/>
              </w:rPr>
              <w:t>48</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FE3F43" w:rsidP="003D411B">
            <w:pPr>
              <w:jc w:val="right"/>
              <w:rPr>
                <w:sz w:val="20"/>
                <w:szCs w:val="20"/>
              </w:rPr>
            </w:pPr>
            <w:r>
              <w:rPr>
                <w:sz w:val="20"/>
                <w:szCs w:val="20"/>
              </w:rPr>
              <w:t>42</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FE3F43" w:rsidP="003D411B">
            <w:pPr>
              <w:jc w:val="right"/>
              <w:rPr>
                <w:sz w:val="20"/>
                <w:szCs w:val="20"/>
              </w:rPr>
            </w:pPr>
            <w:r>
              <w:rPr>
                <w:sz w:val="20"/>
                <w:szCs w:val="20"/>
              </w:rPr>
              <w:t>38</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FE3F43" w:rsidP="003D411B">
            <w:pPr>
              <w:jc w:val="right"/>
              <w:rPr>
                <w:sz w:val="20"/>
                <w:szCs w:val="20"/>
              </w:rPr>
            </w:pPr>
            <w:r>
              <w:rPr>
                <w:sz w:val="20"/>
                <w:szCs w:val="20"/>
              </w:rPr>
              <w:t>35</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FE3F43" w:rsidP="003D411B">
            <w:pPr>
              <w:jc w:val="right"/>
              <w:rPr>
                <w:sz w:val="20"/>
                <w:szCs w:val="20"/>
              </w:rPr>
            </w:pPr>
            <w:r>
              <w:rPr>
                <w:sz w:val="20"/>
                <w:szCs w:val="20"/>
              </w:rPr>
              <w:t>35</w:t>
            </w:r>
          </w:p>
        </w:tc>
      </w:tr>
      <w:tr w:rsidR="00AA45D7" w:rsidRPr="00F03E38" w:rsidTr="00626C97">
        <w:tc>
          <w:tcPr>
            <w:tcW w:w="1688" w:type="dxa"/>
            <w:tcBorders>
              <w:left w:val="double" w:sz="4" w:space="0" w:color="auto"/>
              <w:right w:val="double" w:sz="4" w:space="0" w:color="auto"/>
            </w:tcBorders>
            <w:vAlign w:val="center"/>
          </w:tcPr>
          <w:p w:rsidR="00654A49" w:rsidRDefault="00654A49" w:rsidP="003D411B">
            <w:pPr>
              <w:jc w:val="center"/>
              <w:rPr>
                <w:sz w:val="20"/>
                <w:szCs w:val="20"/>
              </w:rPr>
            </w:pPr>
            <w:r>
              <w:rPr>
                <w:sz w:val="20"/>
                <w:szCs w:val="20"/>
              </w:rPr>
              <w:t>7</w:t>
            </w:r>
          </w:p>
        </w:tc>
        <w:tc>
          <w:tcPr>
            <w:tcW w:w="5317" w:type="dxa"/>
            <w:tcBorders>
              <w:left w:val="double" w:sz="4" w:space="0" w:color="auto"/>
              <w:right w:val="double" w:sz="4" w:space="0" w:color="auto"/>
            </w:tcBorders>
            <w:vAlign w:val="center"/>
          </w:tcPr>
          <w:p w:rsidR="00654A49" w:rsidRDefault="00B67D97" w:rsidP="003D411B">
            <w:pPr>
              <w:rPr>
                <w:sz w:val="20"/>
                <w:szCs w:val="20"/>
              </w:rPr>
            </w:pPr>
            <w:r>
              <w:rPr>
                <w:sz w:val="20"/>
                <w:szCs w:val="20"/>
              </w:rPr>
              <w:t>Ratio of Square Footage to Number of Custodial Staff</w:t>
            </w:r>
          </w:p>
        </w:tc>
        <w:tc>
          <w:tcPr>
            <w:tcW w:w="928" w:type="dxa"/>
            <w:tcBorders>
              <w:left w:val="double" w:sz="4" w:space="0" w:color="auto"/>
              <w:right w:val="double" w:sz="4" w:space="0" w:color="auto"/>
            </w:tcBorders>
            <w:vAlign w:val="center"/>
          </w:tcPr>
          <w:p w:rsidR="00654A49" w:rsidRPr="00F03E38" w:rsidRDefault="00B67D97" w:rsidP="003D411B">
            <w:pPr>
              <w:jc w:val="center"/>
              <w:rPr>
                <w:sz w:val="20"/>
                <w:szCs w:val="20"/>
              </w:rPr>
            </w:pPr>
            <w:r>
              <w:rPr>
                <w:sz w:val="20"/>
                <w:szCs w:val="20"/>
              </w:rPr>
              <w:t>15,000:1</w:t>
            </w:r>
          </w:p>
        </w:tc>
        <w:tc>
          <w:tcPr>
            <w:tcW w:w="246"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67D97" w:rsidP="003D411B">
            <w:pPr>
              <w:jc w:val="right"/>
              <w:rPr>
                <w:sz w:val="20"/>
                <w:szCs w:val="20"/>
              </w:rPr>
            </w:pPr>
            <w:r>
              <w:rPr>
                <w:sz w:val="20"/>
                <w:szCs w:val="20"/>
              </w:rPr>
              <w:t>19,124:1</w:t>
            </w:r>
          </w:p>
        </w:tc>
        <w:tc>
          <w:tcPr>
            <w:tcW w:w="237"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67D97" w:rsidP="003D411B">
            <w:pPr>
              <w:jc w:val="right"/>
              <w:rPr>
                <w:sz w:val="20"/>
                <w:szCs w:val="20"/>
              </w:rPr>
            </w:pPr>
            <w:r>
              <w:rPr>
                <w:sz w:val="20"/>
                <w:szCs w:val="20"/>
              </w:rPr>
              <w:t>20,312:1</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67D97" w:rsidP="003D411B">
            <w:pPr>
              <w:jc w:val="right"/>
              <w:rPr>
                <w:sz w:val="20"/>
                <w:szCs w:val="20"/>
              </w:rPr>
            </w:pPr>
            <w:r>
              <w:rPr>
                <w:sz w:val="20"/>
                <w:szCs w:val="20"/>
              </w:rPr>
              <w:t>21,141:1</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67D97" w:rsidP="003D411B">
            <w:pPr>
              <w:jc w:val="right"/>
              <w:rPr>
                <w:sz w:val="20"/>
                <w:szCs w:val="20"/>
              </w:rPr>
            </w:pPr>
            <w:r>
              <w:rPr>
                <w:sz w:val="20"/>
                <w:szCs w:val="20"/>
              </w:rPr>
              <w:t>22,032:1</w:t>
            </w:r>
          </w:p>
        </w:tc>
        <w:tc>
          <w:tcPr>
            <w:tcW w:w="231" w:type="dxa"/>
            <w:tcBorders>
              <w:left w:val="double" w:sz="4" w:space="0" w:color="auto"/>
              <w:right w:val="nil"/>
            </w:tcBorders>
            <w:shd w:val="clear" w:color="auto" w:fill="auto"/>
            <w:vAlign w:val="center"/>
          </w:tcPr>
          <w:p w:rsidR="00654A49" w:rsidRPr="00F03E38" w:rsidRDefault="00654A49" w:rsidP="003D411B">
            <w:pPr>
              <w:jc w:val="right"/>
              <w:rPr>
                <w:sz w:val="20"/>
                <w:szCs w:val="20"/>
              </w:rPr>
            </w:pPr>
          </w:p>
        </w:tc>
        <w:tc>
          <w:tcPr>
            <w:tcW w:w="928" w:type="dxa"/>
            <w:tcBorders>
              <w:left w:val="nil"/>
              <w:right w:val="double" w:sz="4" w:space="0" w:color="auto"/>
            </w:tcBorders>
            <w:vAlign w:val="center"/>
          </w:tcPr>
          <w:p w:rsidR="00654A49" w:rsidRPr="00F03E38" w:rsidRDefault="00B67D97" w:rsidP="003D411B">
            <w:pPr>
              <w:jc w:val="right"/>
              <w:rPr>
                <w:sz w:val="20"/>
                <w:szCs w:val="20"/>
              </w:rPr>
            </w:pPr>
            <w:r>
              <w:rPr>
                <w:sz w:val="20"/>
                <w:szCs w:val="20"/>
              </w:rPr>
              <w:t>20,459:1</w:t>
            </w:r>
          </w:p>
        </w:tc>
      </w:tr>
      <w:tr w:rsidR="00AA45D7" w:rsidRPr="00F03E38" w:rsidTr="00626C97">
        <w:tc>
          <w:tcPr>
            <w:tcW w:w="1688" w:type="dxa"/>
            <w:tcBorders>
              <w:left w:val="double" w:sz="4" w:space="0" w:color="auto"/>
              <w:right w:val="double" w:sz="4" w:space="0" w:color="auto"/>
            </w:tcBorders>
            <w:vAlign w:val="center"/>
          </w:tcPr>
          <w:p w:rsidR="0095392E" w:rsidRDefault="0095392E" w:rsidP="0095392E">
            <w:pPr>
              <w:jc w:val="center"/>
              <w:rPr>
                <w:sz w:val="20"/>
                <w:szCs w:val="20"/>
              </w:rPr>
            </w:pPr>
            <w:r>
              <w:rPr>
                <w:sz w:val="20"/>
                <w:szCs w:val="20"/>
              </w:rPr>
              <w:t>7</w:t>
            </w:r>
          </w:p>
        </w:tc>
        <w:tc>
          <w:tcPr>
            <w:tcW w:w="5317" w:type="dxa"/>
            <w:tcBorders>
              <w:left w:val="double" w:sz="4" w:space="0" w:color="auto"/>
              <w:right w:val="double" w:sz="4" w:space="0" w:color="auto"/>
            </w:tcBorders>
            <w:vAlign w:val="center"/>
          </w:tcPr>
          <w:p w:rsidR="0095392E" w:rsidRDefault="0095392E" w:rsidP="0095392E">
            <w:pPr>
              <w:rPr>
                <w:sz w:val="20"/>
                <w:szCs w:val="20"/>
              </w:rPr>
            </w:pPr>
            <w:r>
              <w:rPr>
                <w:sz w:val="20"/>
                <w:szCs w:val="20"/>
              </w:rPr>
              <w:t>Student to Counselor Ratio**</w:t>
            </w:r>
          </w:p>
        </w:tc>
        <w:tc>
          <w:tcPr>
            <w:tcW w:w="928" w:type="dxa"/>
            <w:tcBorders>
              <w:left w:val="double" w:sz="4" w:space="0" w:color="auto"/>
              <w:right w:val="double" w:sz="4" w:space="0" w:color="auto"/>
            </w:tcBorders>
            <w:vAlign w:val="center"/>
          </w:tcPr>
          <w:p w:rsidR="0095392E" w:rsidRPr="00F03E38" w:rsidRDefault="0095392E" w:rsidP="0095392E">
            <w:pPr>
              <w:jc w:val="center"/>
              <w:rPr>
                <w:sz w:val="20"/>
                <w:szCs w:val="20"/>
              </w:rPr>
            </w:pPr>
            <w:r>
              <w:rPr>
                <w:sz w:val="20"/>
                <w:szCs w:val="20"/>
              </w:rPr>
              <w:t>616:1</w:t>
            </w:r>
          </w:p>
        </w:tc>
        <w:tc>
          <w:tcPr>
            <w:tcW w:w="246" w:type="dxa"/>
            <w:tcBorders>
              <w:left w:val="double" w:sz="4" w:space="0" w:color="auto"/>
              <w:right w:val="nil"/>
            </w:tcBorders>
            <w:shd w:val="clear" w:color="auto" w:fill="auto"/>
            <w:vAlign w:val="center"/>
          </w:tcPr>
          <w:p w:rsidR="0095392E" w:rsidRDefault="0095392E" w:rsidP="0095392E">
            <w:pPr>
              <w:jc w:val="right"/>
              <w:rPr>
                <w:sz w:val="20"/>
                <w:szCs w:val="20"/>
              </w:rPr>
            </w:pPr>
          </w:p>
        </w:tc>
        <w:tc>
          <w:tcPr>
            <w:tcW w:w="928" w:type="dxa"/>
            <w:tcBorders>
              <w:left w:val="nil"/>
              <w:right w:val="double" w:sz="4" w:space="0" w:color="auto"/>
            </w:tcBorders>
            <w:shd w:val="clear" w:color="auto" w:fill="BFBFBF" w:themeFill="background1" w:themeFillShade="BF"/>
            <w:vAlign w:val="center"/>
          </w:tcPr>
          <w:p w:rsidR="0095392E" w:rsidRDefault="0095392E" w:rsidP="0095392E">
            <w:pPr>
              <w:jc w:val="right"/>
              <w:rPr>
                <w:sz w:val="20"/>
                <w:szCs w:val="20"/>
              </w:rPr>
            </w:pPr>
          </w:p>
        </w:tc>
        <w:tc>
          <w:tcPr>
            <w:tcW w:w="237" w:type="dxa"/>
            <w:tcBorders>
              <w:left w:val="double" w:sz="4" w:space="0" w:color="auto"/>
              <w:right w:val="nil"/>
            </w:tcBorders>
            <w:shd w:val="clear" w:color="auto" w:fill="auto"/>
            <w:vAlign w:val="center"/>
          </w:tcPr>
          <w:p w:rsidR="0095392E" w:rsidRDefault="0095392E" w:rsidP="0095392E">
            <w:pPr>
              <w:jc w:val="right"/>
              <w:rPr>
                <w:sz w:val="20"/>
                <w:szCs w:val="20"/>
              </w:rPr>
            </w:pPr>
          </w:p>
        </w:tc>
        <w:tc>
          <w:tcPr>
            <w:tcW w:w="928" w:type="dxa"/>
            <w:tcBorders>
              <w:left w:val="nil"/>
              <w:right w:val="double" w:sz="4" w:space="0" w:color="auto"/>
            </w:tcBorders>
            <w:vAlign w:val="center"/>
          </w:tcPr>
          <w:p w:rsidR="0095392E" w:rsidRDefault="0095392E" w:rsidP="0095392E">
            <w:pPr>
              <w:jc w:val="right"/>
              <w:rPr>
                <w:sz w:val="20"/>
                <w:szCs w:val="20"/>
              </w:rPr>
            </w:pPr>
            <w:r>
              <w:rPr>
                <w:sz w:val="20"/>
                <w:szCs w:val="20"/>
              </w:rPr>
              <w:t>915:1</w:t>
            </w:r>
          </w:p>
        </w:tc>
        <w:tc>
          <w:tcPr>
            <w:tcW w:w="231" w:type="dxa"/>
            <w:tcBorders>
              <w:left w:val="double" w:sz="4" w:space="0" w:color="auto"/>
              <w:right w:val="nil"/>
            </w:tcBorders>
            <w:shd w:val="clear" w:color="auto" w:fill="auto"/>
            <w:vAlign w:val="center"/>
          </w:tcPr>
          <w:p w:rsidR="0095392E" w:rsidRDefault="0095392E" w:rsidP="0095392E">
            <w:pPr>
              <w:jc w:val="right"/>
              <w:rPr>
                <w:sz w:val="20"/>
                <w:szCs w:val="20"/>
              </w:rPr>
            </w:pPr>
          </w:p>
        </w:tc>
        <w:tc>
          <w:tcPr>
            <w:tcW w:w="928" w:type="dxa"/>
            <w:tcBorders>
              <w:left w:val="nil"/>
              <w:right w:val="double" w:sz="4" w:space="0" w:color="auto"/>
            </w:tcBorders>
            <w:vAlign w:val="center"/>
          </w:tcPr>
          <w:p w:rsidR="0095392E" w:rsidRDefault="0095392E" w:rsidP="0095392E">
            <w:pPr>
              <w:jc w:val="right"/>
              <w:rPr>
                <w:sz w:val="20"/>
                <w:szCs w:val="20"/>
              </w:rPr>
            </w:pPr>
            <w:r>
              <w:rPr>
                <w:sz w:val="20"/>
                <w:szCs w:val="20"/>
              </w:rPr>
              <w:t>1,278:1</w:t>
            </w:r>
          </w:p>
        </w:tc>
        <w:tc>
          <w:tcPr>
            <w:tcW w:w="231" w:type="dxa"/>
            <w:tcBorders>
              <w:left w:val="double" w:sz="4" w:space="0" w:color="auto"/>
              <w:right w:val="nil"/>
            </w:tcBorders>
            <w:shd w:val="clear" w:color="auto" w:fill="auto"/>
            <w:vAlign w:val="center"/>
          </w:tcPr>
          <w:p w:rsidR="0095392E" w:rsidRDefault="0095392E" w:rsidP="0095392E">
            <w:pPr>
              <w:jc w:val="right"/>
              <w:rPr>
                <w:sz w:val="20"/>
                <w:szCs w:val="20"/>
              </w:rPr>
            </w:pPr>
          </w:p>
        </w:tc>
        <w:tc>
          <w:tcPr>
            <w:tcW w:w="928" w:type="dxa"/>
            <w:tcBorders>
              <w:left w:val="nil"/>
              <w:right w:val="double" w:sz="4" w:space="0" w:color="auto"/>
            </w:tcBorders>
            <w:vAlign w:val="center"/>
          </w:tcPr>
          <w:p w:rsidR="0095392E" w:rsidRDefault="0095392E" w:rsidP="0095392E">
            <w:pPr>
              <w:jc w:val="right"/>
              <w:rPr>
                <w:sz w:val="20"/>
                <w:szCs w:val="20"/>
              </w:rPr>
            </w:pPr>
            <w:r>
              <w:rPr>
                <w:sz w:val="20"/>
                <w:szCs w:val="20"/>
              </w:rPr>
              <w:t>849:1</w:t>
            </w:r>
          </w:p>
        </w:tc>
        <w:tc>
          <w:tcPr>
            <w:tcW w:w="231" w:type="dxa"/>
            <w:tcBorders>
              <w:left w:val="double" w:sz="4" w:space="0" w:color="auto"/>
              <w:right w:val="nil"/>
            </w:tcBorders>
            <w:shd w:val="clear" w:color="auto" w:fill="auto"/>
            <w:vAlign w:val="center"/>
          </w:tcPr>
          <w:p w:rsidR="0095392E" w:rsidRDefault="0095392E" w:rsidP="0095392E">
            <w:pPr>
              <w:jc w:val="right"/>
              <w:rPr>
                <w:sz w:val="20"/>
                <w:szCs w:val="20"/>
              </w:rPr>
            </w:pPr>
          </w:p>
        </w:tc>
        <w:tc>
          <w:tcPr>
            <w:tcW w:w="928" w:type="dxa"/>
            <w:tcBorders>
              <w:left w:val="nil"/>
              <w:right w:val="double" w:sz="4" w:space="0" w:color="auto"/>
            </w:tcBorders>
            <w:shd w:val="clear" w:color="auto" w:fill="auto"/>
            <w:vAlign w:val="center"/>
          </w:tcPr>
          <w:p w:rsidR="0095392E" w:rsidRDefault="0095392E" w:rsidP="0095392E">
            <w:pPr>
              <w:jc w:val="right"/>
              <w:rPr>
                <w:sz w:val="20"/>
                <w:szCs w:val="20"/>
              </w:rPr>
            </w:pPr>
            <w:r>
              <w:rPr>
                <w:sz w:val="20"/>
                <w:szCs w:val="20"/>
              </w:rPr>
              <w:t>486:1</w:t>
            </w:r>
          </w:p>
        </w:tc>
      </w:tr>
      <w:tr w:rsidR="00AA45D7" w:rsidRPr="00F03E38" w:rsidTr="00626C97">
        <w:tc>
          <w:tcPr>
            <w:tcW w:w="1688" w:type="dxa"/>
            <w:tcBorders>
              <w:left w:val="double" w:sz="4" w:space="0" w:color="auto"/>
              <w:right w:val="double" w:sz="4" w:space="0" w:color="auto"/>
            </w:tcBorders>
            <w:vAlign w:val="center"/>
          </w:tcPr>
          <w:p w:rsidR="0095392E" w:rsidRDefault="0095392E" w:rsidP="0095392E">
            <w:pPr>
              <w:jc w:val="center"/>
              <w:rPr>
                <w:sz w:val="20"/>
                <w:szCs w:val="20"/>
              </w:rPr>
            </w:pPr>
            <w:r>
              <w:rPr>
                <w:sz w:val="20"/>
                <w:szCs w:val="20"/>
              </w:rPr>
              <w:t>9</w:t>
            </w:r>
          </w:p>
        </w:tc>
        <w:tc>
          <w:tcPr>
            <w:tcW w:w="5317" w:type="dxa"/>
            <w:tcBorders>
              <w:left w:val="double" w:sz="4" w:space="0" w:color="auto"/>
              <w:right w:val="double" w:sz="4" w:space="0" w:color="auto"/>
            </w:tcBorders>
            <w:vAlign w:val="center"/>
          </w:tcPr>
          <w:p w:rsidR="0095392E" w:rsidRPr="00F03E38" w:rsidRDefault="009244FE" w:rsidP="0095392E">
            <w:pPr>
              <w:rPr>
                <w:sz w:val="20"/>
                <w:szCs w:val="20"/>
              </w:rPr>
            </w:pPr>
            <w:hyperlink r:id="rId21" w:history="1">
              <w:r w:rsidR="0095392E" w:rsidRPr="00AE7B32">
                <w:rPr>
                  <w:rStyle w:val="Hyperlink"/>
                  <w:sz w:val="20"/>
                  <w:szCs w:val="20"/>
                </w:rPr>
                <w:t>FTES / FTEF Ratio Percentage of 17.5</w:t>
              </w:r>
            </w:hyperlink>
            <w:r w:rsidR="00892FE3">
              <w:rPr>
                <w:sz w:val="20"/>
                <w:szCs w:val="20"/>
              </w:rPr>
              <w:t xml:space="preserve"> – Ultimate Target is 100%</w:t>
            </w:r>
          </w:p>
        </w:tc>
        <w:tc>
          <w:tcPr>
            <w:tcW w:w="928" w:type="dxa"/>
            <w:tcBorders>
              <w:left w:val="double" w:sz="4" w:space="0" w:color="auto"/>
              <w:right w:val="double" w:sz="4" w:space="0" w:color="auto"/>
            </w:tcBorders>
            <w:vAlign w:val="center"/>
          </w:tcPr>
          <w:p w:rsidR="0095392E" w:rsidRPr="00F03E38" w:rsidRDefault="000360FC" w:rsidP="0095392E">
            <w:pPr>
              <w:jc w:val="center"/>
              <w:rPr>
                <w:sz w:val="20"/>
                <w:szCs w:val="20"/>
              </w:rPr>
            </w:pPr>
            <w:r>
              <w:rPr>
                <w:sz w:val="20"/>
                <w:szCs w:val="20"/>
              </w:rPr>
              <w:t>83%</w:t>
            </w:r>
          </w:p>
        </w:tc>
        <w:tc>
          <w:tcPr>
            <w:tcW w:w="246" w:type="dxa"/>
            <w:tcBorders>
              <w:left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right w:val="double" w:sz="4" w:space="0" w:color="auto"/>
            </w:tcBorders>
            <w:vAlign w:val="center"/>
          </w:tcPr>
          <w:p w:rsidR="0095392E" w:rsidRPr="00F03E38" w:rsidRDefault="0095392E" w:rsidP="0095392E">
            <w:pPr>
              <w:jc w:val="right"/>
              <w:rPr>
                <w:sz w:val="20"/>
                <w:szCs w:val="20"/>
              </w:rPr>
            </w:pPr>
            <w:r>
              <w:rPr>
                <w:sz w:val="20"/>
                <w:szCs w:val="20"/>
              </w:rPr>
              <w:t>100.6</w:t>
            </w:r>
          </w:p>
        </w:tc>
        <w:tc>
          <w:tcPr>
            <w:tcW w:w="237" w:type="dxa"/>
            <w:tcBorders>
              <w:left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right w:val="double" w:sz="4" w:space="0" w:color="auto"/>
            </w:tcBorders>
            <w:vAlign w:val="center"/>
          </w:tcPr>
          <w:p w:rsidR="0095392E" w:rsidRPr="00F03E38" w:rsidRDefault="0095392E" w:rsidP="0095392E">
            <w:pPr>
              <w:jc w:val="right"/>
              <w:rPr>
                <w:sz w:val="20"/>
                <w:szCs w:val="20"/>
              </w:rPr>
            </w:pPr>
            <w:r>
              <w:rPr>
                <w:sz w:val="20"/>
                <w:szCs w:val="20"/>
              </w:rPr>
              <w:t>90.8</w:t>
            </w:r>
          </w:p>
        </w:tc>
        <w:tc>
          <w:tcPr>
            <w:tcW w:w="231" w:type="dxa"/>
            <w:tcBorders>
              <w:left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right w:val="double" w:sz="4" w:space="0" w:color="auto"/>
            </w:tcBorders>
            <w:vAlign w:val="center"/>
          </w:tcPr>
          <w:p w:rsidR="0095392E" w:rsidRPr="00F03E38" w:rsidRDefault="0095392E" w:rsidP="0095392E">
            <w:pPr>
              <w:jc w:val="right"/>
              <w:rPr>
                <w:sz w:val="20"/>
                <w:szCs w:val="20"/>
              </w:rPr>
            </w:pPr>
            <w:r>
              <w:rPr>
                <w:sz w:val="20"/>
                <w:szCs w:val="20"/>
              </w:rPr>
              <w:t>88.8</w:t>
            </w:r>
          </w:p>
        </w:tc>
        <w:tc>
          <w:tcPr>
            <w:tcW w:w="231" w:type="dxa"/>
            <w:tcBorders>
              <w:left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right w:val="double" w:sz="4" w:space="0" w:color="auto"/>
            </w:tcBorders>
            <w:vAlign w:val="center"/>
          </w:tcPr>
          <w:p w:rsidR="0095392E" w:rsidRPr="00F03E38" w:rsidRDefault="0095392E" w:rsidP="0095392E">
            <w:pPr>
              <w:jc w:val="right"/>
              <w:rPr>
                <w:sz w:val="20"/>
                <w:szCs w:val="20"/>
              </w:rPr>
            </w:pPr>
            <w:r>
              <w:rPr>
                <w:sz w:val="20"/>
                <w:szCs w:val="20"/>
              </w:rPr>
              <w:t>83.8</w:t>
            </w:r>
          </w:p>
        </w:tc>
        <w:tc>
          <w:tcPr>
            <w:tcW w:w="231" w:type="dxa"/>
            <w:tcBorders>
              <w:left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right w:val="double" w:sz="4" w:space="0" w:color="auto"/>
            </w:tcBorders>
            <w:vAlign w:val="center"/>
          </w:tcPr>
          <w:p w:rsidR="0095392E" w:rsidRPr="00F03E38" w:rsidRDefault="0095392E" w:rsidP="0095392E">
            <w:pPr>
              <w:jc w:val="right"/>
              <w:rPr>
                <w:sz w:val="20"/>
                <w:szCs w:val="20"/>
              </w:rPr>
            </w:pPr>
            <w:r>
              <w:rPr>
                <w:sz w:val="20"/>
                <w:szCs w:val="20"/>
              </w:rPr>
              <w:t>81.7</w:t>
            </w:r>
          </w:p>
        </w:tc>
      </w:tr>
      <w:tr w:rsidR="00AA45D7" w:rsidRPr="00F03E38" w:rsidTr="00626C97">
        <w:tc>
          <w:tcPr>
            <w:tcW w:w="1688" w:type="dxa"/>
            <w:tcBorders>
              <w:left w:val="double" w:sz="4" w:space="0" w:color="auto"/>
              <w:bottom w:val="double" w:sz="4" w:space="0" w:color="auto"/>
              <w:right w:val="double" w:sz="4" w:space="0" w:color="auto"/>
            </w:tcBorders>
            <w:vAlign w:val="center"/>
          </w:tcPr>
          <w:p w:rsidR="0095392E" w:rsidRDefault="0095392E" w:rsidP="0095392E">
            <w:pPr>
              <w:jc w:val="center"/>
              <w:rPr>
                <w:sz w:val="20"/>
                <w:szCs w:val="20"/>
              </w:rPr>
            </w:pPr>
            <w:r>
              <w:rPr>
                <w:sz w:val="20"/>
                <w:szCs w:val="20"/>
              </w:rPr>
              <w:t>9</w:t>
            </w:r>
          </w:p>
        </w:tc>
        <w:tc>
          <w:tcPr>
            <w:tcW w:w="5317" w:type="dxa"/>
            <w:tcBorders>
              <w:left w:val="double" w:sz="4" w:space="0" w:color="auto"/>
              <w:bottom w:val="double" w:sz="4" w:space="0" w:color="auto"/>
              <w:right w:val="double" w:sz="4" w:space="0" w:color="auto"/>
            </w:tcBorders>
            <w:vAlign w:val="center"/>
          </w:tcPr>
          <w:p w:rsidR="0095392E" w:rsidRDefault="009244FE" w:rsidP="0095392E">
            <w:pPr>
              <w:rPr>
                <w:sz w:val="20"/>
                <w:szCs w:val="20"/>
              </w:rPr>
            </w:pPr>
            <w:hyperlink r:id="rId22" w:history="1">
              <w:r w:rsidR="005C5924" w:rsidRPr="005C523E">
                <w:rPr>
                  <w:rStyle w:val="Hyperlink"/>
                  <w:sz w:val="20"/>
                  <w:szCs w:val="20"/>
                </w:rPr>
                <w:t>WSCH/FTEF Ratio</w:t>
              </w:r>
            </w:hyperlink>
            <w:r w:rsidR="005C5924">
              <w:rPr>
                <w:sz w:val="20"/>
                <w:szCs w:val="20"/>
              </w:rPr>
              <w:t xml:space="preserve"> – Ultimate Target is 525</w:t>
            </w:r>
          </w:p>
        </w:tc>
        <w:tc>
          <w:tcPr>
            <w:tcW w:w="928" w:type="dxa"/>
            <w:tcBorders>
              <w:left w:val="double" w:sz="4" w:space="0" w:color="auto"/>
              <w:bottom w:val="double" w:sz="4" w:space="0" w:color="auto"/>
              <w:right w:val="double" w:sz="4" w:space="0" w:color="auto"/>
            </w:tcBorders>
            <w:vAlign w:val="center"/>
          </w:tcPr>
          <w:p w:rsidR="0095392E" w:rsidRPr="00F03E38" w:rsidRDefault="000360FC" w:rsidP="0095392E">
            <w:pPr>
              <w:jc w:val="center"/>
              <w:rPr>
                <w:sz w:val="20"/>
                <w:szCs w:val="20"/>
              </w:rPr>
            </w:pPr>
            <w:r>
              <w:rPr>
                <w:sz w:val="20"/>
                <w:szCs w:val="20"/>
              </w:rPr>
              <w:t>436</w:t>
            </w:r>
          </w:p>
        </w:tc>
        <w:tc>
          <w:tcPr>
            <w:tcW w:w="246" w:type="dxa"/>
            <w:tcBorders>
              <w:left w:val="double" w:sz="4" w:space="0" w:color="auto"/>
              <w:bottom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bottom w:val="double" w:sz="4" w:space="0" w:color="auto"/>
              <w:right w:val="double" w:sz="4" w:space="0" w:color="auto"/>
            </w:tcBorders>
            <w:vAlign w:val="center"/>
          </w:tcPr>
          <w:p w:rsidR="0095392E" w:rsidRPr="00F03E38" w:rsidRDefault="0095392E" w:rsidP="0095392E">
            <w:pPr>
              <w:jc w:val="right"/>
              <w:rPr>
                <w:sz w:val="20"/>
                <w:szCs w:val="20"/>
              </w:rPr>
            </w:pPr>
            <w:r>
              <w:rPr>
                <w:sz w:val="20"/>
                <w:szCs w:val="20"/>
              </w:rPr>
              <w:t>528</w:t>
            </w:r>
          </w:p>
        </w:tc>
        <w:tc>
          <w:tcPr>
            <w:tcW w:w="237" w:type="dxa"/>
            <w:tcBorders>
              <w:left w:val="double" w:sz="4" w:space="0" w:color="auto"/>
              <w:bottom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bottom w:val="double" w:sz="4" w:space="0" w:color="auto"/>
              <w:right w:val="double" w:sz="4" w:space="0" w:color="auto"/>
            </w:tcBorders>
            <w:vAlign w:val="center"/>
          </w:tcPr>
          <w:p w:rsidR="0095392E" w:rsidRPr="00F03E38" w:rsidRDefault="0095392E" w:rsidP="0095392E">
            <w:pPr>
              <w:jc w:val="right"/>
              <w:rPr>
                <w:sz w:val="20"/>
                <w:szCs w:val="20"/>
              </w:rPr>
            </w:pPr>
            <w:r>
              <w:rPr>
                <w:sz w:val="20"/>
                <w:szCs w:val="20"/>
              </w:rPr>
              <w:t>477</w:t>
            </w:r>
          </w:p>
        </w:tc>
        <w:tc>
          <w:tcPr>
            <w:tcW w:w="231" w:type="dxa"/>
            <w:tcBorders>
              <w:left w:val="double" w:sz="4" w:space="0" w:color="auto"/>
              <w:bottom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bottom w:val="double" w:sz="4" w:space="0" w:color="auto"/>
              <w:right w:val="double" w:sz="4" w:space="0" w:color="auto"/>
            </w:tcBorders>
            <w:vAlign w:val="center"/>
          </w:tcPr>
          <w:p w:rsidR="0095392E" w:rsidRPr="00F03E38" w:rsidRDefault="0095392E" w:rsidP="0095392E">
            <w:pPr>
              <w:jc w:val="right"/>
              <w:rPr>
                <w:sz w:val="20"/>
                <w:szCs w:val="20"/>
              </w:rPr>
            </w:pPr>
            <w:r>
              <w:rPr>
                <w:sz w:val="20"/>
                <w:szCs w:val="20"/>
              </w:rPr>
              <w:t>466</w:t>
            </w:r>
          </w:p>
        </w:tc>
        <w:tc>
          <w:tcPr>
            <w:tcW w:w="231" w:type="dxa"/>
            <w:tcBorders>
              <w:left w:val="double" w:sz="4" w:space="0" w:color="auto"/>
              <w:bottom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bottom w:val="double" w:sz="4" w:space="0" w:color="auto"/>
              <w:right w:val="double" w:sz="4" w:space="0" w:color="auto"/>
            </w:tcBorders>
            <w:vAlign w:val="center"/>
          </w:tcPr>
          <w:p w:rsidR="0095392E" w:rsidRPr="00F03E38" w:rsidRDefault="0095392E" w:rsidP="0095392E">
            <w:pPr>
              <w:jc w:val="right"/>
              <w:rPr>
                <w:sz w:val="20"/>
                <w:szCs w:val="20"/>
              </w:rPr>
            </w:pPr>
            <w:r>
              <w:rPr>
                <w:sz w:val="20"/>
                <w:szCs w:val="20"/>
              </w:rPr>
              <w:t>440</w:t>
            </w:r>
          </w:p>
        </w:tc>
        <w:tc>
          <w:tcPr>
            <w:tcW w:w="231" w:type="dxa"/>
            <w:tcBorders>
              <w:left w:val="double" w:sz="4" w:space="0" w:color="auto"/>
              <w:bottom w:val="double" w:sz="4" w:space="0" w:color="auto"/>
              <w:right w:val="nil"/>
            </w:tcBorders>
            <w:shd w:val="clear" w:color="auto" w:fill="auto"/>
            <w:vAlign w:val="center"/>
          </w:tcPr>
          <w:p w:rsidR="0095392E" w:rsidRPr="00F03E38" w:rsidRDefault="0095392E" w:rsidP="0095392E">
            <w:pPr>
              <w:jc w:val="right"/>
              <w:rPr>
                <w:sz w:val="20"/>
                <w:szCs w:val="20"/>
              </w:rPr>
            </w:pPr>
          </w:p>
        </w:tc>
        <w:tc>
          <w:tcPr>
            <w:tcW w:w="928" w:type="dxa"/>
            <w:tcBorders>
              <w:left w:val="nil"/>
              <w:bottom w:val="double" w:sz="4" w:space="0" w:color="auto"/>
              <w:right w:val="double" w:sz="4" w:space="0" w:color="auto"/>
            </w:tcBorders>
            <w:vAlign w:val="center"/>
          </w:tcPr>
          <w:p w:rsidR="0095392E" w:rsidRPr="00F03E38" w:rsidRDefault="0095392E" w:rsidP="0095392E">
            <w:pPr>
              <w:jc w:val="right"/>
              <w:rPr>
                <w:sz w:val="20"/>
                <w:szCs w:val="20"/>
              </w:rPr>
            </w:pPr>
            <w:r>
              <w:rPr>
                <w:sz w:val="20"/>
                <w:szCs w:val="20"/>
              </w:rPr>
              <w:t>429</w:t>
            </w:r>
          </w:p>
        </w:tc>
      </w:tr>
    </w:tbl>
    <w:p w:rsidR="00807ED6" w:rsidRDefault="00B44D77" w:rsidP="0095392E">
      <w:pPr>
        <w:spacing w:after="0" w:line="240" w:lineRule="auto"/>
        <w:rPr>
          <w:sz w:val="16"/>
          <w:szCs w:val="16"/>
        </w:rPr>
      </w:pPr>
      <w:r>
        <w:rPr>
          <w:sz w:val="16"/>
          <w:szCs w:val="16"/>
        </w:rPr>
        <w:t>*The transfer rate is a six-year cohort and the year identified in the column is one year behind.</w:t>
      </w:r>
    </w:p>
    <w:p w:rsidR="0095392E" w:rsidRDefault="0095392E" w:rsidP="0095392E">
      <w:pPr>
        <w:spacing w:after="0" w:line="240" w:lineRule="auto"/>
        <w:rPr>
          <w:sz w:val="16"/>
          <w:szCs w:val="16"/>
        </w:rPr>
      </w:pPr>
      <w:r>
        <w:rPr>
          <w:sz w:val="16"/>
          <w:szCs w:val="16"/>
        </w:rPr>
        <w:t xml:space="preserve">**The student to counselor ratios are the most current provided by the Student Scorecard.  However, similar to other student scorecard data, they are a semester behind.  The 2016-17 data is for </w:t>
      </w:r>
      <w:proofErr w:type="gramStart"/>
      <w:r>
        <w:rPr>
          <w:sz w:val="16"/>
          <w:szCs w:val="16"/>
        </w:rPr>
        <w:t>Fall</w:t>
      </w:r>
      <w:proofErr w:type="gramEnd"/>
      <w:r>
        <w:rPr>
          <w:sz w:val="16"/>
          <w:szCs w:val="16"/>
        </w:rPr>
        <w:t xml:space="preserve"> 2015. </w:t>
      </w:r>
    </w:p>
    <w:p w:rsidR="003A658E" w:rsidRPr="004809A1" w:rsidRDefault="003A658E" w:rsidP="0095392E">
      <w:pPr>
        <w:spacing w:after="0" w:line="240" w:lineRule="auto"/>
        <w:rPr>
          <w:sz w:val="8"/>
          <w:szCs w:val="8"/>
        </w:rPr>
      </w:pPr>
    </w:p>
    <w:p w:rsidR="008445B9" w:rsidRPr="004809A1" w:rsidRDefault="008445B9" w:rsidP="0095392E">
      <w:pPr>
        <w:spacing w:after="0" w:line="240" w:lineRule="auto"/>
        <w:rPr>
          <w:b/>
          <w:sz w:val="20"/>
          <w:szCs w:val="20"/>
        </w:rPr>
      </w:pPr>
      <w:r w:rsidRPr="004809A1">
        <w:rPr>
          <w:b/>
          <w:sz w:val="20"/>
          <w:szCs w:val="20"/>
        </w:rPr>
        <w:t>Strategic Directions</w:t>
      </w:r>
    </w:p>
    <w:tbl>
      <w:tblPr>
        <w:tblStyle w:val="TableGrid"/>
        <w:tblW w:w="13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gridCol w:w="3965"/>
      </w:tblGrid>
      <w:tr w:rsidR="00CB42F9" w:rsidRPr="004809A1" w:rsidTr="00CB42F9">
        <w:tc>
          <w:tcPr>
            <w:tcW w:w="4860" w:type="dxa"/>
          </w:tcPr>
          <w:p w:rsidR="00CB42F9" w:rsidRPr="004809A1" w:rsidRDefault="00CB42F9" w:rsidP="0095392E">
            <w:pPr>
              <w:pStyle w:val="ListParagraph"/>
              <w:numPr>
                <w:ilvl w:val="0"/>
                <w:numId w:val="1"/>
              </w:numPr>
              <w:ind w:left="425"/>
              <w:rPr>
                <w:sz w:val="20"/>
                <w:szCs w:val="20"/>
              </w:rPr>
            </w:pPr>
            <w:r w:rsidRPr="004809A1">
              <w:rPr>
                <w:sz w:val="20"/>
                <w:szCs w:val="20"/>
              </w:rPr>
              <w:t>Promote Student Success</w:t>
            </w:r>
          </w:p>
          <w:p w:rsidR="00CB42F9" w:rsidRPr="004809A1" w:rsidRDefault="00CB42F9" w:rsidP="0095392E">
            <w:pPr>
              <w:pStyle w:val="ListParagraph"/>
              <w:numPr>
                <w:ilvl w:val="0"/>
                <w:numId w:val="1"/>
              </w:numPr>
              <w:ind w:left="425"/>
              <w:rPr>
                <w:sz w:val="20"/>
                <w:szCs w:val="20"/>
              </w:rPr>
            </w:pPr>
            <w:r w:rsidRPr="004809A1">
              <w:rPr>
                <w:sz w:val="20"/>
                <w:szCs w:val="20"/>
              </w:rPr>
              <w:t>Build Campus Community</w:t>
            </w:r>
          </w:p>
          <w:p w:rsidR="00CB42F9" w:rsidRPr="004809A1" w:rsidRDefault="00CB42F9" w:rsidP="0095392E">
            <w:pPr>
              <w:pStyle w:val="ListParagraph"/>
              <w:numPr>
                <w:ilvl w:val="0"/>
                <w:numId w:val="1"/>
              </w:numPr>
              <w:ind w:left="425"/>
              <w:rPr>
                <w:sz w:val="20"/>
                <w:szCs w:val="20"/>
              </w:rPr>
            </w:pPr>
            <w:r w:rsidRPr="004809A1">
              <w:rPr>
                <w:sz w:val="20"/>
                <w:szCs w:val="20"/>
              </w:rPr>
              <w:t>Development Teaching and Learning Practices</w:t>
            </w:r>
          </w:p>
        </w:tc>
        <w:tc>
          <w:tcPr>
            <w:tcW w:w="4770" w:type="dxa"/>
          </w:tcPr>
          <w:p w:rsidR="00CB42F9" w:rsidRPr="004809A1" w:rsidRDefault="00CB42F9" w:rsidP="0095392E">
            <w:pPr>
              <w:pStyle w:val="ListParagraph"/>
              <w:numPr>
                <w:ilvl w:val="0"/>
                <w:numId w:val="1"/>
              </w:numPr>
              <w:ind w:left="346"/>
              <w:rPr>
                <w:sz w:val="20"/>
                <w:szCs w:val="20"/>
              </w:rPr>
            </w:pPr>
            <w:r w:rsidRPr="004809A1">
              <w:rPr>
                <w:sz w:val="20"/>
                <w:szCs w:val="20"/>
              </w:rPr>
              <w:t>Expand Access</w:t>
            </w:r>
          </w:p>
          <w:p w:rsidR="00CB42F9" w:rsidRPr="004809A1" w:rsidRDefault="00CB42F9" w:rsidP="0095392E">
            <w:pPr>
              <w:pStyle w:val="ListParagraph"/>
              <w:numPr>
                <w:ilvl w:val="0"/>
                <w:numId w:val="1"/>
              </w:numPr>
              <w:ind w:left="346"/>
              <w:rPr>
                <w:sz w:val="20"/>
                <w:szCs w:val="20"/>
              </w:rPr>
            </w:pPr>
            <w:r w:rsidRPr="004809A1">
              <w:rPr>
                <w:sz w:val="20"/>
                <w:szCs w:val="20"/>
              </w:rPr>
              <w:t>Enhance Value to the Surrounding Community</w:t>
            </w:r>
          </w:p>
          <w:p w:rsidR="00CB42F9" w:rsidRPr="004809A1" w:rsidRDefault="00CB42F9" w:rsidP="0095392E">
            <w:pPr>
              <w:pStyle w:val="ListParagraph"/>
              <w:numPr>
                <w:ilvl w:val="0"/>
                <w:numId w:val="1"/>
              </w:numPr>
              <w:ind w:left="346"/>
              <w:rPr>
                <w:sz w:val="20"/>
                <w:szCs w:val="20"/>
              </w:rPr>
            </w:pPr>
            <w:r w:rsidRPr="004809A1">
              <w:rPr>
                <w:sz w:val="20"/>
                <w:szCs w:val="20"/>
              </w:rPr>
              <w:t>Promote Effective Decision Making</w:t>
            </w:r>
          </w:p>
        </w:tc>
        <w:tc>
          <w:tcPr>
            <w:tcW w:w="3965" w:type="dxa"/>
          </w:tcPr>
          <w:p w:rsidR="00CB42F9" w:rsidRPr="004809A1" w:rsidRDefault="00CB42F9" w:rsidP="0095392E">
            <w:pPr>
              <w:pStyle w:val="ListParagraph"/>
              <w:numPr>
                <w:ilvl w:val="0"/>
                <w:numId w:val="1"/>
              </w:numPr>
              <w:ind w:left="337"/>
              <w:rPr>
                <w:sz w:val="20"/>
                <w:szCs w:val="20"/>
              </w:rPr>
            </w:pPr>
            <w:r w:rsidRPr="004809A1">
              <w:rPr>
                <w:sz w:val="20"/>
                <w:szCs w:val="20"/>
              </w:rPr>
              <w:t xml:space="preserve">Develop Programs and Services </w:t>
            </w:r>
          </w:p>
          <w:p w:rsidR="00CB42F9" w:rsidRPr="004809A1" w:rsidRDefault="00CB42F9" w:rsidP="0095392E">
            <w:pPr>
              <w:pStyle w:val="ListParagraph"/>
              <w:numPr>
                <w:ilvl w:val="0"/>
                <w:numId w:val="1"/>
              </w:numPr>
              <w:ind w:left="337"/>
              <w:rPr>
                <w:sz w:val="20"/>
                <w:szCs w:val="20"/>
              </w:rPr>
            </w:pPr>
            <w:r w:rsidRPr="004809A1">
              <w:rPr>
                <w:sz w:val="20"/>
                <w:szCs w:val="20"/>
              </w:rPr>
              <w:t>Support Employee Growth</w:t>
            </w:r>
          </w:p>
          <w:p w:rsidR="00CB42F9" w:rsidRPr="004809A1" w:rsidRDefault="00CB42F9" w:rsidP="0095392E">
            <w:pPr>
              <w:pStyle w:val="ListParagraph"/>
              <w:numPr>
                <w:ilvl w:val="0"/>
                <w:numId w:val="1"/>
              </w:numPr>
              <w:ind w:left="337"/>
              <w:rPr>
                <w:sz w:val="20"/>
                <w:szCs w:val="20"/>
              </w:rPr>
            </w:pPr>
            <w:r w:rsidRPr="004809A1">
              <w:rPr>
                <w:sz w:val="20"/>
                <w:szCs w:val="20"/>
              </w:rPr>
              <w:t>Optimize Resources</w:t>
            </w:r>
          </w:p>
        </w:tc>
      </w:tr>
    </w:tbl>
    <w:p w:rsidR="00CB42F9" w:rsidRPr="000360FC" w:rsidRDefault="00CB42F9" w:rsidP="000360FC">
      <w:pPr>
        <w:rPr>
          <w:sz w:val="8"/>
          <w:szCs w:val="8"/>
        </w:rPr>
        <w:sectPr w:rsidR="00CB42F9" w:rsidRPr="000360FC" w:rsidSect="00B67D97">
          <w:headerReference w:type="default" r:id="rId23"/>
          <w:footerReference w:type="default" r:id="rId24"/>
          <w:pgSz w:w="15840" w:h="12240" w:orient="landscape"/>
          <w:pgMar w:top="1170" w:right="990" w:bottom="720" w:left="1440" w:header="270" w:footer="229" w:gutter="0"/>
          <w:cols w:space="720"/>
          <w:docGrid w:linePitch="360"/>
        </w:sectPr>
      </w:pPr>
    </w:p>
    <w:p w:rsidR="002F735F" w:rsidRDefault="002F735F" w:rsidP="008445B9"/>
    <w:p w:rsidR="008445B9" w:rsidRPr="00AA19DF" w:rsidRDefault="002F735F" w:rsidP="00AA19DF">
      <w:pPr>
        <w:jc w:val="center"/>
        <w:rPr>
          <w:b/>
        </w:rPr>
      </w:pPr>
      <w:r w:rsidRPr="00AA19DF">
        <w:rPr>
          <w:b/>
        </w:rPr>
        <w:t>Methodology</w:t>
      </w:r>
    </w:p>
    <w:tbl>
      <w:tblPr>
        <w:tblStyle w:val="TableGrid"/>
        <w:tblW w:w="11245" w:type="dxa"/>
        <w:tblLook w:val="04A0" w:firstRow="1" w:lastRow="0" w:firstColumn="1" w:lastColumn="0" w:noHBand="0" w:noVBand="1"/>
      </w:tblPr>
      <w:tblGrid>
        <w:gridCol w:w="3641"/>
        <w:gridCol w:w="928"/>
        <w:gridCol w:w="6676"/>
      </w:tblGrid>
      <w:tr w:rsidR="00AA19DF" w:rsidRPr="00F03E38" w:rsidTr="00BD68EC">
        <w:trPr>
          <w:tblHeader/>
        </w:trPr>
        <w:tc>
          <w:tcPr>
            <w:tcW w:w="3685" w:type="dxa"/>
            <w:vAlign w:val="center"/>
          </w:tcPr>
          <w:p w:rsidR="00AA19DF" w:rsidRPr="00F03E38" w:rsidRDefault="00E533CA" w:rsidP="006B4DB6">
            <w:pPr>
              <w:jc w:val="center"/>
              <w:rPr>
                <w:b/>
                <w:sz w:val="20"/>
                <w:szCs w:val="20"/>
              </w:rPr>
            </w:pPr>
            <w:r>
              <w:rPr>
                <w:b/>
                <w:sz w:val="20"/>
                <w:szCs w:val="20"/>
              </w:rPr>
              <w:t>Achievement Outcome Measures</w:t>
            </w:r>
          </w:p>
        </w:tc>
        <w:tc>
          <w:tcPr>
            <w:tcW w:w="789" w:type="dxa"/>
            <w:vAlign w:val="center"/>
          </w:tcPr>
          <w:p w:rsidR="00AA19DF" w:rsidRPr="00F03E38" w:rsidRDefault="00AA19DF" w:rsidP="006B4DB6">
            <w:pPr>
              <w:jc w:val="center"/>
              <w:rPr>
                <w:b/>
                <w:sz w:val="20"/>
                <w:szCs w:val="20"/>
              </w:rPr>
            </w:pPr>
            <w:r w:rsidRPr="00F03E38">
              <w:rPr>
                <w:b/>
                <w:sz w:val="20"/>
                <w:szCs w:val="20"/>
              </w:rPr>
              <w:t>Target</w:t>
            </w:r>
          </w:p>
        </w:tc>
        <w:tc>
          <w:tcPr>
            <w:tcW w:w="6771" w:type="dxa"/>
            <w:vAlign w:val="center"/>
          </w:tcPr>
          <w:p w:rsidR="00AA19DF" w:rsidRPr="00F03E38" w:rsidRDefault="00AA19DF" w:rsidP="006B4DB6">
            <w:pPr>
              <w:jc w:val="center"/>
              <w:rPr>
                <w:b/>
                <w:sz w:val="20"/>
                <w:szCs w:val="20"/>
              </w:rPr>
            </w:pPr>
            <w:r>
              <w:rPr>
                <w:b/>
                <w:sz w:val="20"/>
                <w:szCs w:val="20"/>
              </w:rPr>
              <w:t>Methodology and Target Notes</w:t>
            </w:r>
          </w:p>
        </w:tc>
      </w:tr>
      <w:tr w:rsidR="00AA19DF" w:rsidRPr="00F03E38" w:rsidTr="00B67D97">
        <w:tc>
          <w:tcPr>
            <w:tcW w:w="3685" w:type="dxa"/>
            <w:vAlign w:val="center"/>
          </w:tcPr>
          <w:p w:rsidR="00AA19DF" w:rsidRPr="00F03E38" w:rsidRDefault="005F548A" w:rsidP="006B4DB6">
            <w:pPr>
              <w:rPr>
                <w:sz w:val="20"/>
                <w:szCs w:val="20"/>
              </w:rPr>
            </w:pPr>
            <w:hyperlink r:id="rId25" w:history="1">
              <w:r w:rsidR="00480CF2" w:rsidRPr="00DE0384">
                <w:rPr>
                  <w:rStyle w:val="Hyperlink"/>
                  <w:sz w:val="20"/>
                  <w:szCs w:val="20"/>
                </w:rPr>
                <w:t>Course Success Rate</w:t>
              </w:r>
            </w:hyperlink>
          </w:p>
        </w:tc>
        <w:tc>
          <w:tcPr>
            <w:tcW w:w="789" w:type="dxa"/>
            <w:vAlign w:val="center"/>
          </w:tcPr>
          <w:p w:rsidR="00AA19DF" w:rsidRPr="00F03E38" w:rsidRDefault="00AA19DF" w:rsidP="006B4DB6">
            <w:pPr>
              <w:jc w:val="center"/>
              <w:rPr>
                <w:sz w:val="20"/>
                <w:szCs w:val="20"/>
              </w:rPr>
            </w:pPr>
            <w:r>
              <w:rPr>
                <w:sz w:val="20"/>
                <w:szCs w:val="20"/>
              </w:rPr>
              <w:t>73.0</w:t>
            </w:r>
          </w:p>
        </w:tc>
        <w:tc>
          <w:tcPr>
            <w:tcW w:w="6771" w:type="dxa"/>
            <w:vAlign w:val="center"/>
          </w:tcPr>
          <w:p w:rsidR="00AA19DF" w:rsidRPr="00F03E38" w:rsidRDefault="00480CF2" w:rsidP="00480CF2">
            <w:pPr>
              <w:rPr>
                <w:sz w:val="20"/>
                <w:szCs w:val="20"/>
              </w:rPr>
            </w:pPr>
            <w:r>
              <w:rPr>
                <w:sz w:val="20"/>
                <w:szCs w:val="20"/>
              </w:rPr>
              <w:t xml:space="preserve">Course success rate is defined as the percent of students earning a C, B, A, or P grade divided by the number of grades on record (GOR: A, B, C, D, F, P, NP, </w:t>
            </w:r>
            <w:proofErr w:type="gramStart"/>
            <w:r>
              <w:rPr>
                <w:sz w:val="20"/>
                <w:szCs w:val="20"/>
              </w:rPr>
              <w:t>I, or W</w:t>
            </w:r>
            <w:proofErr w:type="gramEnd"/>
            <w:r>
              <w:rPr>
                <w:sz w:val="20"/>
                <w:szCs w:val="20"/>
              </w:rPr>
              <w:t xml:space="preserve">). The course success rate is for the academic year: summer, fall, and spring.  The target was set by using the same methodology for setting the IEPI targets: calculating the standard deviation (SD) over five years and adding a half SD to the </w:t>
            </w:r>
            <w:r w:rsidR="00A05339">
              <w:rPr>
                <w:sz w:val="20"/>
                <w:szCs w:val="20"/>
              </w:rPr>
              <w:t>most recent course success rate: .299444/2 = .149722 + 72.9 = 73.0.</w:t>
            </w:r>
          </w:p>
        </w:tc>
      </w:tr>
      <w:tr w:rsidR="00AA19DF" w:rsidRPr="00F03E38" w:rsidTr="00B67D97">
        <w:tc>
          <w:tcPr>
            <w:tcW w:w="3685" w:type="dxa"/>
            <w:shd w:val="clear" w:color="auto" w:fill="auto"/>
            <w:vAlign w:val="center"/>
          </w:tcPr>
          <w:p w:rsidR="00AA19DF" w:rsidRPr="00F03E38" w:rsidRDefault="009244FE" w:rsidP="006B4DB6">
            <w:pPr>
              <w:rPr>
                <w:sz w:val="20"/>
                <w:szCs w:val="20"/>
              </w:rPr>
            </w:pPr>
            <w:hyperlink r:id="rId26" w:history="1">
              <w:r w:rsidR="00AA19DF" w:rsidRPr="005C523E">
                <w:rPr>
                  <w:rStyle w:val="Hyperlink"/>
                  <w:sz w:val="20"/>
                  <w:szCs w:val="20"/>
                </w:rPr>
                <w:t>Fall to Spring Retention (Persistence)</w:t>
              </w:r>
            </w:hyperlink>
            <w:r w:rsidR="00AA19DF">
              <w:rPr>
                <w:rStyle w:val="Hyperlink"/>
                <w:sz w:val="20"/>
                <w:szCs w:val="20"/>
              </w:rPr>
              <w:t xml:space="preserve"> 70.0</w:t>
            </w:r>
          </w:p>
        </w:tc>
        <w:tc>
          <w:tcPr>
            <w:tcW w:w="789" w:type="dxa"/>
            <w:shd w:val="clear" w:color="auto" w:fill="auto"/>
            <w:vAlign w:val="center"/>
          </w:tcPr>
          <w:p w:rsidR="00AA19DF" w:rsidRPr="00F03E38" w:rsidRDefault="007668AF" w:rsidP="006B4DB6">
            <w:pPr>
              <w:jc w:val="center"/>
              <w:rPr>
                <w:sz w:val="20"/>
                <w:szCs w:val="20"/>
              </w:rPr>
            </w:pPr>
            <w:r>
              <w:rPr>
                <w:sz w:val="20"/>
                <w:szCs w:val="20"/>
              </w:rPr>
              <w:t>71.2</w:t>
            </w:r>
          </w:p>
        </w:tc>
        <w:tc>
          <w:tcPr>
            <w:tcW w:w="6771" w:type="dxa"/>
            <w:vAlign w:val="center"/>
          </w:tcPr>
          <w:p w:rsidR="00AA19DF" w:rsidRPr="00F03E38" w:rsidRDefault="007668AF" w:rsidP="007668AF">
            <w:pPr>
              <w:rPr>
                <w:sz w:val="20"/>
                <w:szCs w:val="20"/>
              </w:rPr>
            </w:pPr>
            <w:r>
              <w:rPr>
                <w:sz w:val="20"/>
                <w:szCs w:val="20"/>
              </w:rPr>
              <w:t>The Fall to Spring retention rate is the percent of students who earn a GOR in the fall semester and the subsequent spring semester.  The same methodology used to set the IEPI targets was used to set the fall to spring retention target: The SD was calculated over the five most recent years, and a half SD was added to the most recent year: 1.24/2 = .6205 + 70.6 = 71.2</w:t>
            </w:r>
            <w:r w:rsidR="00A645BD">
              <w:rPr>
                <w:sz w:val="20"/>
                <w:szCs w:val="20"/>
              </w:rPr>
              <w:t>.</w:t>
            </w:r>
          </w:p>
        </w:tc>
      </w:tr>
      <w:tr w:rsidR="00AA19DF" w:rsidRPr="00F03E38" w:rsidTr="00B67D97">
        <w:tc>
          <w:tcPr>
            <w:tcW w:w="3685" w:type="dxa"/>
            <w:shd w:val="clear" w:color="auto" w:fill="auto"/>
            <w:vAlign w:val="center"/>
          </w:tcPr>
          <w:p w:rsidR="00AA19DF" w:rsidRPr="00F03E38" w:rsidRDefault="009244FE" w:rsidP="006B4DB6">
            <w:pPr>
              <w:rPr>
                <w:sz w:val="20"/>
                <w:szCs w:val="20"/>
              </w:rPr>
            </w:pPr>
            <w:hyperlink r:id="rId27" w:history="1">
              <w:r w:rsidR="00AA19DF" w:rsidRPr="005C523E">
                <w:rPr>
                  <w:rStyle w:val="Hyperlink"/>
                  <w:sz w:val="20"/>
                  <w:szCs w:val="20"/>
                </w:rPr>
                <w:t>Three-Year English Throughput Rate</w:t>
              </w:r>
            </w:hyperlink>
          </w:p>
        </w:tc>
        <w:tc>
          <w:tcPr>
            <w:tcW w:w="789" w:type="dxa"/>
            <w:shd w:val="clear" w:color="auto" w:fill="auto"/>
            <w:vAlign w:val="center"/>
          </w:tcPr>
          <w:p w:rsidR="00AA19DF" w:rsidRPr="00F03E38" w:rsidRDefault="00A645BD" w:rsidP="006B4DB6">
            <w:pPr>
              <w:jc w:val="center"/>
              <w:rPr>
                <w:sz w:val="20"/>
                <w:szCs w:val="20"/>
              </w:rPr>
            </w:pPr>
            <w:r>
              <w:rPr>
                <w:sz w:val="20"/>
                <w:szCs w:val="20"/>
              </w:rPr>
              <w:t>49.3</w:t>
            </w:r>
          </w:p>
        </w:tc>
        <w:tc>
          <w:tcPr>
            <w:tcW w:w="6771" w:type="dxa"/>
            <w:vAlign w:val="center"/>
          </w:tcPr>
          <w:p w:rsidR="00AA19DF" w:rsidRPr="00F03E38" w:rsidRDefault="00A645BD" w:rsidP="00A645BD">
            <w:pPr>
              <w:rPr>
                <w:sz w:val="20"/>
                <w:szCs w:val="20"/>
              </w:rPr>
            </w:pPr>
            <w:r>
              <w:rPr>
                <w:sz w:val="20"/>
                <w:szCs w:val="20"/>
              </w:rPr>
              <w:t xml:space="preserve">The three-year English throughput rate identifies students who took their first English course at Crafton, tracks these students for three years, and identifies the percent who complete a transfer level English course in three years.  The target </w:t>
            </w:r>
            <w:proofErr w:type="gramStart"/>
            <w:r>
              <w:rPr>
                <w:sz w:val="20"/>
                <w:szCs w:val="20"/>
              </w:rPr>
              <w:t>was set</w:t>
            </w:r>
            <w:proofErr w:type="gramEnd"/>
            <w:r>
              <w:rPr>
                <w:sz w:val="20"/>
                <w:szCs w:val="20"/>
              </w:rPr>
              <w:t xml:space="preserve"> by using the IEPI Target Methodology: 5.559/2 = 2.7797 + 46.5 = 49.3.</w:t>
            </w:r>
          </w:p>
        </w:tc>
      </w:tr>
      <w:tr w:rsidR="00AA19DF" w:rsidRPr="00F03E38" w:rsidTr="00B67D97">
        <w:tc>
          <w:tcPr>
            <w:tcW w:w="3685" w:type="dxa"/>
            <w:shd w:val="clear" w:color="auto" w:fill="auto"/>
            <w:vAlign w:val="center"/>
          </w:tcPr>
          <w:p w:rsidR="00AA19DF" w:rsidRPr="00F03E38" w:rsidRDefault="009244FE" w:rsidP="006B4DB6">
            <w:pPr>
              <w:rPr>
                <w:sz w:val="20"/>
                <w:szCs w:val="20"/>
              </w:rPr>
            </w:pPr>
            <w:hyperlink r:id="rId28" w:history="1">
              <w:r w:rsidR="00615ED4" w:rsidRPr="000360FC">
                <w:rPr>
                  <w:rStyle w:val="Hyperlink"/>
                  <w:sz w:val="20"/>
                  <w:szCs w:val="20"/>
                </w:rPr>
                <w:t>Three-Year Math Throughput Rate</w:t>
              </w:r>
            </w:hyperlink>
            <w:r w:rsidR="00615ED4">
              <w:rPr>
                <w:sz w:val="20"/>
                <w:szCs w:val="20"/>
              </w:rPr>
              <w:t xml:space="preserve"> – Long Range Target is 50%</w:t>
            </w:r>
          </w:p>
        </w:tc>
        <w:tc>
          <w:tcPr>
            <w:tcW w:w="789" w:type="dxa"/>
            <w:shd w:val="clear" w:color="auto" w:fill="auto"/>
            <w:vAlign w:val="center"/>
          </w:tcPr>
          <w:p w:rsidR="00AA19DF" w:rsidRPr="00F03E38" w:rsidRDefault="00615ED4" w:rsidP="006B4DB6">
            <w:pPr>
              <w:jc w:val="center"/>
              <w:rPr>
                <w:sz w:val="20"/>
                <w:szCs w:val="20"/>
              </w:rPr>
            </w:pPr>
            <w:r>
              <w:rPr>
                <w:sz w:val="20"/>
                <w:szCs w:val="20"/>
              </w:rPr>
              <w:t>26.2</w:t>
            </w:r>
          </w:p>
        </w:tc>
        <w:tc>
          <w:tcPr>
            <w:tcW w:w="6771" w:type="dxa"/>
            <w:vAlign w:val="center"/>
          </w:tcPr>
          <w:p w:rsidR="00AA19DF" w:rsidRPr="00F03E38" w:rsidRDefault="00AA19DF" w:rsidP="003615D4">
            <w:pPr>
              <w:rPr>
                <w:sz w:val="20"/>
                <w:szCs w:val="20"/>
              </w:rPr>
            </w:pPr>
            <w:r>
              <w:rPr>
                <w:sz w:val="20"/>
                <w:szCs w:val="20"/>
              </w:rPr>
              <w:t>Met with the math department, examined historical data, discussed MM plans, examined other colleges, and set the</w:t>
            </w:r>
            <w:r w:rsidR="00615ED4">
              <w:rPr>
                <w:sz w:val="20"/>
                <w:szCs w:val="20"/>
              </w:rPr>
              <w:t xml:space="preserve"> </w:t>
            </w:r>
            <w:r w:rsidR="005A4E41">
              <w:rPr>
                <w:sz w:val="20"/>
                <w:szCs w:val="20"/>
              </w:rPr>
              <w:t>long-range</w:t>
            </w:r>
            <w:r>
              <w:rPr>
                <w:sz w:val="20"/>
                <w:szCs w:val="20"/>
              </w:rPr>
              <w:t xml:space="preserve"> target</w:t>
            </w:r>
            <w:r w:rsidR="00615ED4">
              <w:rPr>
                <w:sz w:val="20"/>
                <w:szCs w:val="20"/>
              </w:rPr>
              <w:t xml:space="preserve"> at 50%</w:t>
            </w:r>
            <w:r>
              <w:rPr>
                <w:sz w:val="20"/>
                <w:szCs w:val="20"/>
              </w:rPr>
              <w:t>.</w:t>
            </w:r>
            <w:r w:rsidR="00ED0C71">
              <w:rPr>
                <w:sz w:val="20"/>
                <w:szCs w:val="20"/>
              </w:rPr>
              <w:t xml:space="preserve"> Using the IEPI target methodology the target </w:t>
            </w:r>
            <w:r w:rsidR="00615ED4">
              <w:rPr>
                <w:sz w:val="20"/>
                <w:szCs w:val="20"/>
              </w:rPr>
              <w:t xml:space="preserve">in 17-18 </w:t>
            </w:r>
            <w:r w:rsidR="00ED0C71">
              <w:rPr>
                <w:sz w:val="20"/>
                <w:szCs w:val="20"/>
              </w:rPr>
              <w:t>would be 26.2: 3.296/2 = 1.648 + 24.6 = 26.2.</w:t>
            </w:r>
          </w:p>
        </w:tc>
      </w:tr>
      <w:tr w:rsidR="00AA19DF" w:rsidRPr="00F03E38" w:rsidTr="00B67D97">
        <w:tc>
          <w:tcPr>
            <w:tcW w:w="3685" w:type="dxa"/>
            <w:shd w:val="clear" w:color="auto" w:fill="auto"/>
            <w:vAlign w:val="center"/>
          </w:tcPr>
          <w:p w:rsidR="00AA19DF" w:rsidRPr="00F03E38" w:rsidRDefault="009244FE" w:rsidP="006B4DB6">
            <w:pPr>
              <w:rPr>
                <w:sz w:val="20"/>
                <w:szCs w:val="20"/>
              </w:rPr>
            </w:pPr>
            <w:hyperlink r:id="rId29" w:history="1">
              <w:r w:rsidR="00AA19DF" w:rsidRPr="005C523E">
                <w:rPr>
                  <w:rStyle w:val="Hyperlink"/>
                  <w:sz w:val="20"/>
                  <w:szCs w:val="20"/>
                </w:rPr>
                <w:t>Number of Degrees and Certificates</w:t>
              </w:r>
            </w:hyperlink>
          </w:p>
        </w:tc>
        <w:tc>
          <w:tcPr>
            <w:tcW w:w="789" w:type="dxa"/>
            <w:shd w:val="clear" w:color="auto" w:fill="auto"/>
            <w:vAlign w:val="center"/>
          </w:tcPr>
          <w:p w:rsidR="00AA19DF" w:rsidRPr="00F03E38" w:rsidRDefault="00AA19DF" w:rsidP="006B4DB6">
            <w:pPr>
              <w:jc w:val="center"/>
              <w:rPr>
                <w:sz w:val="20"/>
                <w:szCs w:val="20"/>
              </w:rPr>
            </w:pPr>
            <w:r>
              <w:rPr>
                <w:sz w:val="20"/>
                <w:szCs w:val="20"/>
              </w:rPr>
              <w:t>1,066</w:t>
            </w:r>
          </w:p>
        </w:tc>
        <w:tc>
          <w:tcPr>
            <w:tcW w:w="6771" w:type="dxa"/>
            <w:vAlign w:val="center"/>
          </w:tcPr>
          <w:p w:rsidR="00AA19DF" w:rsidRPr="00F03E38" w:rsidRDefault="00656C11" w:rsidP="00ED38E5">
            <w:pPr>
              <w:rPr>
                <w:sz w:val="20"/>
                <w:szCs w:val="20"/>
              </w:rPr>
            </w:pPr>
            <w:r>
              <w:rPr>
                <w:sz w:val="20"/>
                <w:szCs w:val="20"/>
              </w:rPr>
              <w:t>The Chairs suggested</w:t>
            </w:r>
            <w:r w:rsidR="00AA19DF">
              <w:rPr>
                <w:sz w:val="20"/>
                <w:szCs w:val="20"/>
              </w:rPr>
              <w:t xml:space="preserve"> that we use the percentage of full-time students to help set the target.   To set</w:t>
            </w:r>
            <w:r w:rsidR="001911E0">
              <w:rPr>
                <w:sz w:val="20"/>
                <w:szCs w:val="20"/>
              </w:rPr>
              <w:t xml:space="preserve"> the</w:t>
            </w:r>
            <w:r w:rsidR="00AA19DF">
              <w:rPr>
                <w:sz w:val="20"/>
                <w:szCs w:val="20"/>
              </w:rPr>
              <w:t xml:space="preserve"> target identified the number of unduplicated students each year, the percent of FT students in the fall semesters,</w:t>
            </w:r>
            <w:r w:rsidR="001911E0">
              <w:rPr>
                <w:sz w:val="20"/>
                <w:szCs w:val="20"/>
              </w:rPr>
              <w:t xml:space="preserve"> and</w:t>
            </w:r>
            <w:r w:rsidR="00AA19DF">
              <w:rPr>
                <w:sz w:val="20"/>
                <w:szCs w:val="20"/>
              </w:rPr>
              <w:t xml:space="preserve"> multiplied the FT percent by the unduplicated students to calculat</w:t>
            </w:r>
            <w:r w:rsidR="001911E0">
              <w:rPr>
                <w:sz w:val="20"/>
                <w:szCs w:val="20"/>
              </w:rPr>
              <w:t xml:space="preserve">e estimated annual FT students. Next, </w:t>
            </w:r>
            <w:r w:rsidR="00AA19DF">
              <w:rPr>
                <w:sz w:val="20"/>
                <w:szCs w:val="20"/>
              </w:rPr>
              <w:t xml:space="preserve">divided the number of awards by estimated annual FT students to get percent of FT who earned award, calculated the average percent of FT who earned award (29.3%) and average number of awards across all five years (824), a 29% increase above 824 would be 242 for </w:t>
            </w:r>
            <w:r w:rsidR="001911E0">
              <w:rPr>
                <w:sz w:val="20"/>
                <w:szCs w:val="20"/>
              </w:rPr>
              <w:t>1,066</w:t>
            </w:r>
            <w:r w:rsidR="00AA19DF">
              <w:rPr>
                <w:sz w:val="20"/>
                <w:szCs w:val="20"/>
              </w:rPr>
              <w:t>.</w:t>
            </w:r>
            <w:r w:rsidR="003C1BF3">
              <w:rPr>
                <w:sz w:val="20"/>
                <w:szCs w:val="20"/>
              </w:rPr>
              <w:t xml:space="preserve"> Using IEPI target methodology the target would be 1,138 for 17-18: 131.547/2 = 65.773 + 1,072 = 1,138.</w:t>
            </w:r>
          </w:p>
        </w:tc>
      </w:tr>
      <w:tr w:rsidR="00AA19DF" w:rsidRPr="00F03E38" w:rsidTr="00B67D97">
        <w:tc>
          <w:tcPr>
            <w:tcW w:w="3685" w:type="dxa"/>
            <w:shd w:val="clear" w:color="auto" w:fill="auto"/>
            <w:vAlign w:val="center"/>
          </w:tcPr>
          <w:p w:rsidR="00AA19DF" w:rsidRDefault="009244FE" w:rsidP="006B4DB6">
            <w:pPr>
              <w:rPr>
                <w:sz w:val="20"/>
                <w:szCs w:val="20"/>
              </w:rPr>
            </w:pPr>
            <w:hyperlink r:id="rId30" w:history="1">
              <w:r w:rsidR="00AA19DF" w:rsidRPr="005C523E">
                <w:rPr>
                  <w:rStyle w:val="Hyperlink"/>
                  <w:sz w:val="20"/>
                  <w:szCs w:val="20"/>
                </w:rPr>
                <w:t>Transfer Rate</w:t>
              </w:r>
            </w:hyperlink>
          </w:p>
        </w:tc>
        <w:tc>
          <w:tcPr>
            <w:tcW w:w="789" w:type="dxa"/>
            <w:shd w:val="clear" w:color="auto" w:fill="auto"/>
            <w:vAlign w:val="center"/>
          </w:tcPr>
          <w:p w:rsidR="00AA19DF" w:rsidRPr="00F03E38" w:rsidRDefault="00AA19DF" w:rsidP="006B4DB6">
            <w:pPr>
              <w:jc w:val="center"/>
              <w:rPr>
                <w:sz w:val="20"/>
                <w:szCs w:val="20"/>
              </w:rPr>
            </w:pPr>
            <w:r>
              <w:rPr>
                <w:sz w:val="20"/>
                <w:szCs w:val="20"/>
              </w:rPr>
              <w:t>30.6</w:t>
            </w:r>
          </w:p>
        </w:tc>
        <w:tc>
          <w:tcPr>
            <w:tcW w:w="6771" w:type="dxa"/>
            <w:shd w:val="clear" w:color="auto" w:fill="auto"/>
            <w:vAlign w:val="center"/>
          </w:tcPr>
          <w:p w:rsidR="00AA19DF" w:rsidRDefault="001D0020" w:rsidP="003615D4">
            <w:pPr>
              <w:rPr>
                <w:sz w:val="20"/>
                <w:szCs w:val="20"/>
              </w:rPr>
            </w:pPr>
            <w:r>
              <w:rPr>
                <w:sz w:val="20"/>
                <w:szCs w:val="20"/>
              </w:rPr>
              <w:t>The Chairs suggested used .5 SD to set target.  Using IEPI Methodology to set the transfer rate target the 17-18 target would be 31.2: 1.285/2 = .643 + 30.6 = 31.2.</w:t>
            </w:r>
          </w:p>
        </w:tc>
      </w:tr>
      <w:tr w:rsidR="00EF5966" w:rsidRPr="00F03E38" w:rsidTr="00B67D97">
        <w:tc>
          <w:tcPr>
            <w:tcW w:w="3685" w:type="dxa"/>
            <w:vAlign w:val="center"/>
          </w:tcPr>
          <w:p w:rsidR="00EF5966" w:rsidRDefault="00EF5966" w:rsidP="006B4DB6">
            <w:r>
              <w:rPr>
                <w:sz w:val="20"/>
                <w:szCs w:val="20"/>
              </w:rPr>
              <w:t>CSU GPA One-Year After Transfer from Crafton</w:t>
            </w:r>
          </w:p>
        </w:tc>
        <w:tc>
          <w:tcPr>
            <w:tcW w:w="789" w:type="dxa"/>
            <w:shd w:val="clear" w:color="auto" w:fill="auto"/>
            <w:vAlign w:val="center"/>
          </w:tcPr>
          <w:p w:rsidR="00EF5966" w:rsidRDefault="00255980" w:rsidP="00072B5D">
            <w:pPr>
              <w:jc w:val="center"/>
              <w:rPr>
                <w:sz w:val="20"/>
                <w:szCs w:val="20"/>
              </w:rPr>
            </w:pPr>
            <w:r>
              <w:rPr>
                <w:sz w:val="20"/>
                <w:szCs w:val="20"/>
              </w:rPr>
              <w:t>TBD</w:t>
            </w:r>
          </w:p>
        </w:tc>
        <w:tc>
          <w:tcPr>
            <w:tcW w:w="6771" w:type="dxa"/>
            <w:shd w:val="clear" w:color="auto" w:fill="auto"/>
            <w:vAlign w:val="center"/>
          </w:tcPr>
          <w:p w:rsidR="00EF5966" w:rsidRDefault="00EF5966" w:rsidP="00255980">
            <w:pPr>
              <w:rPr>
                <w:sz w:val="20"/>
                <w:szCs w:val="20"/>
              </w:rPr>
            </w:pPr>
            <w:r>
              <w:rPr>
                <w:sz w:val="20"/>
                <w:szCs w:val="20"/>
              </w:rPr>
              <w:t xml:space="preserve">The CSU GPA information one-year after transfer from Crafton is a year behind.  For example, the data presented in 2016-2017 is for Fall 2015; however, this data is the most current.  The data is from Table 4 from the </w:t>
            </w:r>
            <w:hyperlink r:id="rId31" w:history="1">
              <w:r w:rsidRPr="00EF5966">
                <w:rPr>
                  <w:rStyle w:val="Hyperlink"/>
                  <w:sz w:val="20"/>
                  <w:szCs w:val="20"/>
                </w:rPr>
                <w:t>CSU Analytical Studies Web Site</w:t>
              </w:r>
            </w:hyperlink>
            <w:r>
              <w:rPr>
                <w:sz w:val="20"/>
                <w:szCs w:val="20"/>
              </w:rPr>
              <w:t xml:space="preserve"> and represents the total GPA including both lower and upper division students one year after they transferred from Crafton.  Crafton students’ GPA at the CSUs </w:t>
            </w:r>
            <w:proofErr w:type="gramStart"/>
            <w:r>
              <w:rPr>
                <w:sz w:val="20"/>
                <w:szCs w:val="20"/>
              </w:rPr>
              <w:t>is compared</w:t>
            </w:r>
            <w:proofErr w:type="gramEnd"/>
            <w:r>
              <w:rPr>
                <w:sz w:val="20"/>
                <w:szCs w:val="20"/>
              </w:rPr>
              <w:t xml:space="preserve"> to all other community college students who transferred to CSU one-year after the transfer.  The target is to meet or exceed the GPA of all other community college students.  The system-wide total GPA after one-year </w:t>
            </w:r>
            <w:r w:rsidR="00255980">
              <w:rPr>
                <w:sz w:val="20"/>
                <w:szCs w:val="20"/>
              </w:rPr>
              <w:t xml:space="preserve">in Fall 2016 will be set when the data </w:t>
            </w:r>
            <w:proofErr w:type="gramStart"/>
            <w:r w:rsidR="00255980">
              <w:rPr>
                <w:sz w:val="20"/>
                <w:szCs w:val="20"/>
              </w:rPr>
              <w:t>is released</w:t>
            </w:r>
            <w:proofErr w:type="gramEnd"/>
            <w:r>
              <w:rPr>
                <w:sz w:val="20"/>
                <w:szCs w:val="20"/>
              </w:rPr>
              <w:t>.</w:t>
            </w:r>
          </w:p>
        </w:tc>
      </w:tr>
      <w:tr w:rsidR="00AA19DF" w:rsidRPr="00F03E38" w:rsidTr="00B67D97">
        <w:tc>
          <w:tcPr>
            <w:tcW w:w="3685" w:type="dxa"/>
            <w:vAlign w:val="center"/>
          </w:tcPr>
          <w:p w:rsidR="00AA19DF" w:rsidRPr="00F03E38" w:rsidRDefault="009244FE" w:rsidP="006B4DB6">
            <w:pPr>
              <w:rPr>
                <w:sz w:val="20"/>
                <w:szCs w:val="20"/>
              </w:rPr>
            </w:pPr>
            <w:hyperlink r:id="rId32" w:history="1">
              <w:r w:rsidR="00AA19DF" w:rsidRPr="005C523E">
                <w:rPr>
                  <w:rStyle w:val="Hyperlink"/>
                  <w:sz w:val="20"/>
                  <w:szCs w:val="20"/>
                </w:rPr>
                <w:t>Employee Satisfaction</w:t>
              </w:r>
            </w:hyperlink>
            <w:r w:rsidR="00AA19DF">
              <w:rPr>
                <w:sz w:val="20"/>
                <w:szCs w:val="20"/>
              </w:rPr>
              <w:t xml:space="preserve"> (6 Questions)</w:t>
            </w:r>
          </w:p>
        </w:tc>
        <w:tc>
          <w:tcPr>
            <w:tcW w:w="789" w:type="dxa"/>
            <w:shd w:val="clear" w:color="auto" w:fill="auto"/>
            <w:vAlign w:val="center"/>
          </w:tcPr>
          <w:p w:rsidR="00AA19DF" w:rsidRPr="00F03E38" w:rsidRDefault="00AA19DF" w:rsidP="00072B5D">
            <w:pPr>
              <w:jc w:val="center"/>
              <w:rPr>
                <w:sz w:val="20"/>
                <w:szCs w:val="20"/>
              </w:rPr>
            </w:pPr>
            <w:r>
              <w:rPr>
                <w:sz w:val="20"/>
                <w:szCs w:val="20"/>
              </w:rPr>
              <w:t>7</w:t>
            </w:r>
            <w:r w:rsidR="00072B5D">
              <w:rPr>
                <w:sz w:val="20"/>
                <w:szCs w:val="20"/>
              </w:rPr>
              <w:t>0</w:t>
            </w:r>
            <w:r>
              <w:rPr>
                <w:sz w:val="20"/>
                <w:szCs w:val="20"/>
              </w:rPr>
              <w:t>.0</w:t>
            </w:r>
          </w:p>
        </w:tc>
        <w:tc>
          <w:tcPr>
            <w:tcW w:w="6771" w:type="dxa"/>
            <w:shd w:val="clear" w:color="auto" w:fill="auto"/>
            <w:vAlign w:val="center"/>
          </w:tcPr>
          <w:p w:rsidR="00AA19DF" w:rsidRPr="00F03E38" w:rsidRDefault="00072B5D" w:rsidP="003615D4">
            <w:pPr>
              <w:rPr>
                <w:sz w:val="20"/>
                <w:szCs w:val="20"/>
              </w:rPr>
            </w:pPr>
            <w:r>
              <w:rPr>
                <w:sz w:val="20"/>
                <w:szCs w:val="20"/>
              </w:rPr>
              <w:t>Crafton employees rate their level of overall satisfaction in the following six areas: outcomes assessment process</w:t>
            </w:r>
            <w:r w:rsidR="00ED15AE">
              <w:rPr>
                <w:sz w:val="20"/>
                <w:szCs w:val="20"/>
              </w:rPr>
              <w:t xml:space="preserve"> (q1ad)</w:t>
            </w:r>
            <w:r>
              <w:rPr>
                <w:sz w:val="20"/>
                <w:szCs w:val="20"/>
              </w:rPr>
              <w:t>, level of inclusiveness at Crafton</w:t>
            </w:r>
            <w:r w:rsidR="00ED15AE">
              <w:rPr>
                <w:sz w:val="20"/>
                <w:szCs w:val="20"/>
              </w:rPr>
              <w:t xml:space="preserve"> (q2y)</w:t>
            </w:r>
            <w:r>
              <w:rPr>
                <w:sz w:val="20"/>
                <w:szCs w:val="20"/>
              </w:rPr>
              <w:t>, planning and decision-making</w:t>
            </w:r>
            <w:r w:rsidR="00ED15AE">
              <w:rPr>
                <w:sz w:val="20"/>
                <w:szCs w:val="20"/>
              </w:rPr>
              <w:t xml:space="preserve"> (q1r)</w:t>
            </w:r>
            <w:r>
              <w:rPr>
                <w:sz w:val="20"/>
                <w:szCs w:val="20"/>
              </w:rPr>
              <w:t>, shared-governance</w:t>
            </w:r>
            <w:r w:rsidR="00ED15AE">
              <w:rPr>
                <w:sz w:val="20"/>
                <w:szCs w:val="20"/>
              </w:rPr>
              <w:t xml:space="preserve"> (q9an)</w:t>
            </w:r>
            <w:r>
              <w:rPr>
                <w:sz w:val="20"/>
                <w:szCs w:val="20"/>
              </w:rPr>
              <w:t>, resource allocation processes</w:t>
            </w:r>
            <w:r w:rsidR="00ED15AE">
              <w:rPr>
                <w:sz w:val="20"/>
                <w:szCs w:val="20"/>
              </w:rPr>
              <w:t xml:space="preserve"> (q9af)</w:t>
            </w:r>
            <w:r>
              <w:rPr>
                <w:sz w:val="20"/>
                <w:szCs w:val="20"/>
              </w:rPr>
              <w:t>, and working at Crafton</w:t>
            </w:r>
            <w:r w:rsidR="00ED15AE">
              <w:rPr>
                <w:sz w:val="20"/>
                <w:szCs w:val="20"/>
              </w:rPr>
              <w:t xml:space="preserve"> (q9ag)</w:t>
            </w:r>
            <w:r>
              <w:rPr>
                <w:sz w:val="20"/>
                <w:szCs w:val="20"/>
              </w:rPr>
              <w:t>.</w:t>
            </w:r>
            <w:r w:rsidR="00D26A1D">
              <w:rPr>
                <w:sz w:val="20"/>
                <w:szCs w:val="20"/>
              </w:rPr>
              <w:t xml:space="preserve">  According to Gallop the Statewide norm is 70% or higher.  The target set for Crafton was 70%.</w:t>
            </w:r>
          </w:p>
        </w:tc>
      </w:tr>
      <w:tr w:rsidR="00AA19DF" w:rsidRPr="00F03E38" w:rsidTr="00B67D97">
        <w:tc>
          <w:tcPr>
            <w:tcW w:w="3685" w:type="dxa"/>
            <w:vAlign w:val="center"/>
          </w:tcPr>
          <w:p w:rsidR="00AA19DF" w:rsidRPr="00F03E38" w:rsidRDefault="009244FE" w:rsidP="006B4DB6">
            <w:pPr>
              <w:rPr>
                <w:sz w:val="20"/>
                <w:szCs w:val="20"/>
              </w:rPr>
            </w:pPr>
            <w:hyperlink r:id="rId33" w:history="1">
              <w:r w:rsidR="00AA19DF" w:rsidRPr="005C523E">
                <w:rPr>
                  <w:rStyle w:val="Hyperlink"/>
                  <w:sz w:val="20"/>
                  <w:szCs w:val="20"/>
                </w:rPr>
                <w:t>Student Satisfaction</w:t>
              </w:r>
            </w:hyperlink>
            <w:r w:rsidR="00AA19DF">
              <w:rPr>
                <w:sz w:val="20"/>
                <w:szCs w:val="20"/>
              </w:rPr>
              <w:t xml:space="preserve"> (10 questions)</w:t>
            </w:r>
          </w:p>
        </w:tc>
        <w:tc>
          <w:tcPr>
            <w:tcW w:w="789" w:type="dxa"/>
            <w:vAlign w:val="center"/>
          </w:tcPr>
          <w:p w:rsidR="00AA19DF" w:rsidRPr="00F03E38" w:rsidRDefault="00072B5D" w:rsidP="006B4DB6">
            <w:pPr>
              <w:jc w:val="center"/>
              <w:rPr>
                <w:sz w:val="20"/>
                <w:szCs w:val="20"/>
              </w:rPr>
            </w:pPr>
            <w:r>
              <w:rPr>
                <w:sz w:val="20"/>
                <w:szCs w:val="20"/>
              </w:rPr>
              <w:t>85.0</w:t>
            </w:r>
          </w:p>
        </w:tc>
        <w:tc>
          <w:tcPr>
            <w:tcW w:w="6771" w:type="dxa"/>
            <w:shd w:val="clear" w:color="auto" w:fill="auto"/>
            <w:vAlign w:val="center"/>
          </w:tcPr>
          <w:p w:rsidR="00AA19DF" w:rsidRPr="00F03E38" w:rsidRDefault="00415313" w:rsidP="003615D4">
            <w:pPr>
              <w:rPr>
                <w:sz w:val="20"/>
                <w:szCs w:val="20"/>
              </w:rPr>
            </w:pPr>
            <w:r>
              <w:rPr>
                <w:sz w:val="20"/>
                <w:szCs w:val="20"/>
              </w:rPr>
              <w:t xml:space="preserve">Crafton students rate their level of overall satisfaction every other spring semester in the following ten areas: </w:t>
            </w:r>
            <w:r w:rsidR="00B8058E">
              <w:rPr>
                <w:sz w:val="20"/>
                <w:szCs w:val="20"/>
              </w:rPr>
              <w:t>sense of belonging at CHC (q5.a), proud to tell others are CHC student (q5.b), students made to feel welcome (q5.d), feel informed (q5.h), overall educational experience (q7.c), overall services for students (q13.n), cleanliness (q11.a), maintenance of facilities (q11.b), landscaping (q11.c), and safety (q11.e)</w:t>
            </w:r>
            <w:r>
              <w:rPr>
                <w:sz w:val="20"/>
                <w:szCs w:val="20"/>
              </w:rPr>
              <w:t xml:space="preserve">.  </w:t>
            </w:r>
          </w:p>
        </w:tc>
      </w:tr>
      <w:tr w:rsidR="00AA19DF" w:rsidRPr="00F03E38" w:rsidTr="00B67D97">
        <w:tc>
          <w:tcPr>
            <w:tcW w:w="3685" w:type="dxa"/>
            <w:vAlign w:val="center"/>
          </w:tcPr>
          <w:p w:rsidR="00AA19DF" w:rsidRPr="00F03E38" w:rsidRDefault="009244FE" w:rsidP="006B4DB6">
            <w:pPr>
              <w:rPr>
                <w:sz w:val="20"/>
                <w:szCs w:val="20"/>
              </w:rPr>
            </w:pPr>
            <w:hyperlink r:id="rId34" w:history="1">
              <w:r w:rsidR="00AA19DF" w:rsidRPr="005C523E">
                <w:rPr>
                  <w:rStyle w:val="Hyperlink"/>
                  <w:sz w:val="20"/>
                  <w:szCs w:val="20"/>
                </w:rPr>
                <w:t>Active and Collaborative Learning</w:t>
              </w:r>
            </w:hyperlink>
          </w:p>
        </w:tc>
        <w:tc>
          <w:tcPr>
            <w:tcW w:w="789" w:type="dxa"/>
            <w:vAlign w:val="center"/>
          </w:tcPr>
          <w:p w:rsidR="00AA19DF" w:rsidRDefault="00AA19DF" w:rsidP="006B4DB6">
            <w:pPr>
              <w:jc w:val="center"/>
              <w:rPr>
                <w:sz w:val="20"/>
                <w:szCs w:val="20"/>
              </w:rPr>
            </w:pPr>
            <w:r>
              <w:rPr>
                <w:sz w:val="20"/>
                <w:szCs w:val="20"/>
              </w:rPr>
              <w:t>&gt;50</w:t>
            </w:r>
          </w:p>
        </w:tc>
        <w:tc>
          <w:tcPr>
            <w:tcW w:w="6771" w:type="dxa"/>
            <w:shd w:val="clear" w:color="auto" w:fill="auto"/>
            <w:vAlign w:val="center"/>
          </w:tcPr>
          <w:p w:rsidR="00AA19DF" w:rsidRPr="00F03E38" w:rsidRDefault="00415313" w:rsidP="003615D4">
            <w:pPr>
              <w:rPr>
                <w:sz w:val="20"/>
                <w:szCs w:val="20"/>
              </w:rPr>
            </w:pPr>
            <w:r>
              <w:rPr>
                <w:sz w:val="20"/>
                <w:szCs w:val="20"/>
              </w:rPr>
              <w:t>Active and collaborative learning is a Community College Survey of Student Engagement (CCSSE) standardized benchmark and indicates whether students actively think about their education and collaboratively apply what they are learning in different settings.  A score greater than 50 means that Crafton exceeds the national average.</w:t>
            </w:r>
          </w:p>
        </w:tc>
      </w:tr>
      <w:tr w:rsidR="00AA19DF" w:rsidRPr="00F03E38" w:rsidTr="00B67D97">
        <w:tc>
          <w:tcPr>
            <w:tcW w:w="3685" w:type="dxa"/>
            <w:vAlign w:val="center"/>
          </w:tcPr>
          <w:p w:rsidR="00AA19DF" w:rsidRPr="00F03E38" w:rsidRDefault="009244FE" w:rsidP="006B4DB6">
            <w:pPr>
              <w:rPr>
                <w:sz w:val="20"/>
                <w:szCs w:val="20"/>
              </w:rPr>
            </w:pPr>
            <w:hyperlink r:id="rId35" w:history="1">
              <w:r w:rsidR="00AA19DF" w:rsidRPr="005C523E">
                <w:rPr>
                  <w:rStyle w:val="Hyperlink"/>
                  <w:sz w:val="20"/>
                  <w:szCs w:val="20"/>
                </w:rPr>
                <w:t>Student Effort</w:t>
              </w:r>
            </w:hyperlink>
          </w:p>
        </w:tc>
        <w:tc>
          <w:tcPr>
            <w:tcW w:w="789" w:type="dxa"/>
            <w:vAlign w:val="center"/>
          </w:tcPr>
          <w:p w:rsidR="00AA19DF" w:rsidRDefault="00AA19DF" w:rsidP="006B4DB6">
            <w:pPr>
              <w:jc w:val="center"/>
              <w:rPr>
                <w:sz w:val="20"/>
                <w:szCs w:val="20"/>
              </w:rPr>
            </w:pPr>
            <w:r>
              <w:rPr>
                <w:sz w:val="20"/>
                <w:szCs w:val="20"/>
              </w:rPr>
              <w:t>&gt;50</w:t>
            </w:r>
          </w:p>
        </w:tc>
        <w:tc>
          <w:tcPr>
            <w:tcW w:w="6771" w:type="dxa"/>
            <w:shd w:val="clear" w:color="auto" w:fill="auto"/>
            <w:vAlign w:val="center"/>
          </w:tcPr>
          <w:p w:rsidR="00AA19DF" w:rsidRPr="00F03E38" w:rsidRDefault="00415313" w:rsidP="00415313">
            <w:pPr>
              <w:rPr>
                <w:sz w:val="20"/>
                <w:szCs w:val="20"/>
              </w:rPr>
            </w:pPr>
            <w:r>
              <w:rPr>
                <w:sz w:val="20"/>
                <w:szCs w:val="20"/>
              </w:rPr>
              <w:t>Student Effort is a CCSSE standardized benchmark and indicates whether students exhibit behaviors that increase their chances of attaining their education goals.  A score greater than 50 means that Crafton exceeds the national average.</w:t>
            </w:r>
          </w:p>
        </w:tc>
      </w:tr>
      <w:tr w:rsidR="00AA19DF" w:rsidRPr="00F03E38" w:rsidTr="00B67D97">
        <w:tc>
          <w:tcPr>
            <w:tcW w:w="3685" w:type="dxa"/>
            <w:vAlign w:val="center"/>
          </w:tcPr>
          <w:p w:rsidR="00AA19DF" w:rsidRPr="00F03E38" w:rsidRDefault="009244FE" w:rsidP="006B4DB6">
            <w:pPr>
              <w:rPr>
                <w:sz w:val="20"/>
                <w:szCs w:val="20"/>
              </w:rPr>
            </w:pPr>
            <w:hyperlink r:id="rId36" w:history="1">
              <w:r w:rsidR="00AA19DF" w:rsidRPr="005C523E">
                <w:rPr>
                  <w:rStyle w:val="Hyperlink"/>
                  <w:sz w:val="20"/>
                  <w:szCs w:val="20"/>
                </w:rPr>
                <w:t>Academic Challenge</w:t>
              </w:r>
            </w:hyperlink>
          </w:p>
        </w:tc>
        <w:tc>
          <w:tcPr>
            <w:tcW w:w="789" w:type="dxa"/>
            <w:vAlign w:val="center"/>
          </w:tcPr>
          <w:p w:rsidR="00AA19DF" w:rsidRDefault="00AA19DF" w:rsidP="006B4DB6">
            <w:pPr>
              <w:jc w:val="center"/>
              <w:rPr>
                <w:sz w:val="20"/>
                <w:szCs w:val="20"/>
              </w:rPr>
            </w:pPr>
            <w:r>
              <w:rPr>
                <w:sz w:val="20"/>
                <w:szCs w:val="20"/>
              </w:rPr>
              <w:t>&gt;50</w:t>
            </w:r>
          </w:p>
        </w:tc>
        <w:tc>
          <w:tcPr>
            <w:tcW w:w="6771" w:type="dxa"/>
            <w:shd w:val="clear" w:color="auto" w:fill="auto"/>
            <w:vAlign w:val="center"/>
          </w:tcPr>
          <w:p w:rsidR="00AA19DF" w:rsidRPr="00F03E38" w:rsidRDefault="00415313" w:rsidP="00415313">
            <w:pPr>
              <w:rPr>
                <w:sz w:val="20"/>
                <w:szCs w:val="20"/>
              </w:rPr>
            </w:pPr>
            <w:r>
              <w:rPr>
                <w:sz w:val="20"/>
                <w:szCs w:val="20"/>
              </w:rPr>
              <w:t xml:space="preserve">Academic Challenge is a CCSSE standardized benchmark and indicates whether students </w:t>
            </w:r>
            <w:proofErr w:type="gramStart"/>
            <w:r>
              <w:rPr>
                <w:sz w:val="20"/>
                <w:szCs w:val="20"/>
              </w:rPr>
              <w:t>are intellectually and creatively challenged</w:t>
            </w:r>
            <w:proofErr w:type="gramEnd"/>
            <w:r>
              <w:rPr>
                <w:sz w:val="20"/>
                <w:szCs w:val="20"/>
              </w:rPr>
              <w:t xml:space="preserve"> to be successful in college.  A score greater than 50 means that Crafton exceeds the national average.</w:t>
            </w:r>
          </w:p>
        </w:tc>
      </w:tr>
      <w:tr w:rsidR="00AA19DF" w:rsidRPr="00F03E38" w:rsidTr="00B67D97">
        <w:tc>
          <w:tcPr>
            <w:tcW w:w="3685" w:type="dxa"/>
            <w:vAlign w:val="center"/>
          </w:tcPr>
          <w:p w:rsidR="00AA19DF" w:rsidRPr="00F03E38" w:rsidRDefault="009244FE" w:rsidP="006B4DB6">
            <w:pPr>
              <w:rPr>
                <w:sz w:val="20"/>
                <w:szCs w:val="20"/>
              </w:rPr>
            </w:pPr>
            <w:hyperlink r:id="rId37" w:history="1">
              <w:r w:rsidR="00AA19DF" w:rsidRPr="005C523E">
                <w:rPr>
                  <w:rStyle w:val="Hyperlink"/>
                  <w:sz w:val="20"/>
                  <w:szCs w:val="20"/>
                </w:rPr>
                <w:t>Student-Faculty Interaction</w:t>
              </w:r>
            </w:hyperlink>
          </w:p>
        </w:tc>
        <w:tc>
          <w:tcPr>
            <w:tcW w:w="789" w:type="dxa"/>
            <w:vAlign w:val="center"/>
          </w:tcPr>
          <w:p w:rsidR="00AA19DF" w:rsidRDefault="00AA19DF" w:rsidP="006B4DB6">
            <w:pPr>
              <w:jc w:val="center"/>
              <w:rPr>
                <w:sz w:val="20"/>
                <w:szCs w:val="20"/>
              </w:rPr>
            </w:pPr>
            <w:r>
              <w:rPr>
                <w:sz w:val="20"/>
                <w:szCs w:val="20"/>
              </w:rPr>
              <w:t>&gt;50</w:t>
            </w:r>
          </w:p>
        </w:tc>
        <w:tc>
          <w:tcPr>
            <w:tcW w:w="6771" w:type="dxa"/>
            <w:shd w:val="clear" w:color="auto" w:fill="auto"/>
            <w:vAlign w:val="center"/>
          </w:tcPr>
          <w:p w:rsidR="00AA19DF" w:rsidRPr="00F03E38" w:rsidRDefault="00415313" w:rsidP="00415313">
            <w:pPr>
              <w:rPr>
                <w:sz w:val="20"/>
                <w:szCs w:val="20"/>
              </w:rPr>
            </w:pPr>
            <w:r>
              <w:rPr>
                <w:sz w:val="20"/>
                <w:szCs w:val="20"/>
              </w:rPr>
              <w:t>Student-Faculty Interaction is a CCSSE standardized benchmark and indicates the frequency and quality of interactions with professors helping student learn and persist toward attaining their educational goals.  A score greater than 50 means that Crafton exceeds the national average.</w:t>
            </w:r>
          </w:p>
        </w:tc>
      </w:tr>
      <w:tr w:rsidR="00AA19DF" w:rsidRPr="00F03E38" w:rsidTr="00B67D97">
        <w:tc>
          <w:tcPr>
            <w:tcW w:w="3685" w:type="dxa"/>
            <w:vAlign w:val="center"/>
          </w:tcPr>
          <w:p w:rsidR="00AA19DF" w:rsidRPr="00F03E38" w:rsidRDefault="009244FE" w:rsidP="006B4DB6">
            <w:pPr>
              <w:rPr>
                <w:sz w:val="20"/>
                <w:szCs w:val="20"/>
              </w:rPr>
            </w:pPr>
            <w:hyperlink r:id="rId38" w:history="1">
              <w:r w:rsidR="00AA19DF" w:rsidRPr="005C523E">
                <w:rPr>
                  <w:rStyle w:val="Hyperlink"/>
                  <w:sz w:val="20"/>
                  <w:szCs w:val="20"/>
                </w:rPr>
                <w:t>Support for Learners</w:t>
              </w:r>
            </w:hyperlink>
          </w:p>
        </w:tc>
        <w:tc>
          <w:tcPr>
            <w:tcW w:w="789" w:type="dxa"/>
            <w:vAlign w:val="center"/>
          </w:tcPr>
          <w:p w:rsidR="00AA19DF" w:rsidRDefault="00AA19DF" w:rsidP="006B4DB6">
            <w:pPr>
              <w:jc w:val="center"/>
              <w:rPr>
                <w:sz w:val="20"/>
                <w:szCs w:val="20"/>
              </w:rPr>
            </w:pPr>
            <w:r>
              <w:rPr>
                <w:sz w:val="20"/>
                <w:szCs w:val="20"/>
              </w:rPr>
              <w:t>&gt;50</w:t>
            </w:r>
          </w:p>
        </w:tc>
        <w:tc>
          <w:tcPr>
            <w:tcW w:w="6771" w:type="dxa"/>
            <w:shd w:val="clear" w:color="auto" w:fill="auto"/>
            <w:vAlign w:val="center"/>
          </w:tcPr>
          <w:p w:rsidR="00AA19DF" w:rsidRPr="00F03E38" w:rsidRDefault="00415313" w:rsidP="00415313">
            <w:pPr>
              <w:rPr>
                <w:sz w:val="20"/>
                <w:szCs w:val="20"/>
              </w:rPr>
            </w:pPr>
            <w:r>
              <w:rPr>
                <w:sz w:val="20"/>
                <w:szCs w:val="20"/>
              </w:rPr>
              <w:t xml:space="preserve">Support for Learners is a CCSSE standardized benchmark and indicates whether students </w:t>
            </w:r>
            <w:proofErr w:type="gramStart"/>
            <w:r>
              <w:rPr>
                <w:sz w:val="20"/>
                <w:szCs w:val="20"/>
              </w:rPr>
              <w:t>are surrounded</w:t>
            </w:r>
            <w:proofErr w:type="gramEnd"/>
            <w:r>
              <w:rPr>
                <w:sz w:val="20"/>
                <w:szCs w:val="20"/>
              </w:rPr>
              <w:t xml:space="preserve"> with support outside the classroom cultivating a positive learning environment.  A score greater than 50 means that Crafton exceeds the national average.</w:t>
            </w:r>
          </w:p>
        </w:tc>
      </w:tr>
      <w:tr w:rsidR="00AA19DF" w:rsidRPr="00F03E38" w:rsidTr="00B67D97">
        <w:tc>
          <w:tcPr>
            <w:tcW w:w="3685" w:type="dxa"/>
            <w:vAlign w:val="center"/>
          </w:tcPr>
          <w:p w:rsidR="00AA19DF" w:rsidRDefault="00AA19DF" w:rsidP="006B4DB6">
            <w:pPr>
              <w:rPr>
                <w:sz w:val="20"/>
                <w:szCs w:val="20"/>
              </w:rPr>
            </w:pPr>
            <w:r>
              <w:rPr>
                <w:sz w:val="20"/>
                <w:szCs w:val="20"/>
              </w:rPr>
              <w:t>Percent of Students Meeting ILOs</w:t>
            </w:r>
          </w:p>
        </w:tc>
        <w:tc>
          <w:tcPr>
            <w:tcW w:w="789" w:type="dxa"/>
            <w:vAlign w:val="center"/>
          </w:tcPr>
          <w:p w:rsidR="00AA19DF" w:rsidRPr="00F03E38" w:rsidRDefault="00AA19DF" w:rsidP="006B4DB6">
            <w:pPr>
              <w:jc w:val="center"/>
              <w:rPr>
                <w:sz w:val="20"/>
                <w:szCs w:val="20"/>
              </w:rPr>
            </w:pPr>
            <w:r>
              <w:rPr>
                <w:sz w:val="20"/>
                <w:szCs w:val="20"/>
              </w:rPr>
              <w:t>80.3</w:t>
            </w:r>
          </w:p>
        </w:tc>
        <w:tc>
          <w:tcPr>
            <w:tcW w:w="6771" w:type="dxa"/>
            <w:shd w:val="clear" w:color="auto" w:fill="auto"/>
            <w:vAlign w:val="center"/>
          </w:tcPr>
          <w:p w:rsidR="00AA19DF" w:rsidRDefault="00AA19DF" w:rsidP="0030566F">
            <w:pPr>
              <w:rPr>
                <w:sz w:val="20"/>
                <w:szCs w:val="20"/>
              </w:rPr>
            </w:pPr>
            <w:r>
              <w:rPr>
                <w:sz w:val="20"/>
                <w:szCs w:val="20"/>
              </w:rPr>
              <w:t xml:space="preserve">Percent of those assessed in all six ILOs for each academic year who score a 3 or higher on the ILO.  </w:t>
            </w:r>
            <w:r w:rsidR="0030566F">
              <w:rPr>
                <w:sz w:val="20"/>
                <w:szCs w:val="20"/>
              </w:rPr>
              <w:t>Used the IEPI Target Methodology by calculating the standard deviation (SD) over five years and adding a half SD to the most recent percent of students meeting ILO: 1.310/2 = .6551 + 79.6 = 80.3.</w:t>
            </w:r>
          </w:p>
        </w:tc>
      </w:tr>
      <w:tr w:rsidR="00AA19DF" w:rsidRPr="00F03E38" w:rsidTr="00B67D97">
        <w:tc>
          <w:tcPr>
            <w:tcW w:w="3685" w:type="dxa"/>
            <w:vAlign w:val="center"/>
          </w:tcPr>
          <w:p w:rsidR="00AA19DF" w:rsidRDefault="00AA19DF" w:rsidP="006B4DB6">
            <w:pPr>
              <w:rPr>
                <w:sz w:val="20"/>
                <w:szCs w:val="20"/>
              </w:rPr>
            </w:pPr>
            <w:r>
              <w:rPr>
                <w:sz w:val="20"/>
                <w:szCs w:val="20"/>
              </w:rPr>
              <w:t>Fall Unduplicated Headcount</w:t>
            </w:r>
          </w:p>
        </w:tc>
        <w:tc>
          <w:tcPr>
            <w:tcW w:w="789" w:type="dxa"/>
            <w:vAlign w:val="center"/>
          </w:tcPr>
          <w:p w:rsidR="00AA19DF" w:rsidRPr="00F03E38" w:rsidRDefault="00AA19DF" w:rsidP="00E25CDF">
            <w:pPr>
              <w:jc w:val="center"/>
              <w:rPr>
                <w:sz w:val="20"/>
                <w:szCs w:val="20"/>
              </w:rPr>
            </w:pPr>
            <w:r>
              <w:rPr>
                <w:sz w:val="20"/>
                <w:szCs w:val="20"/>
              </w:rPr>
              <w:t>5,</w:t>
            </w:r>
            <w:r w:rsidR="00E25CDF">
              <w:rPr>
                <w:sz w:val="20"/>
                <w:szCs w:val="20"/>
              </w:rPr>
              <w:t>927</w:t>
            </w:r>
          </w:p>
        </w:tc>
        <w:tc>
          <w:tcPr>
            <w:tcW w:w="6771" w:type="dxa"/>
            <w:shd w:val="clear" w:color="auto" w:fill="auto"/>
            <w:vAlign w:val="center"/>
          </w:tcPr>
          <w:p w:rsidR="00AA19DF" w:rsidRDefault="00E25CDF" w:rsidP="00E25CDF">
            <w:pPr>
              <w:rPr>
                <w:sz w:val="20"/>
                <w:szCs w:val="20"/>
              </w:rPr>
            </w:pPr>
            <w:r>
              <w:rPr>
                <w:sz w:val="20"/>
                <w:szCs w:val="20"/>
              </w:rPr>
              <w:t>Used the IEPI Target Methodology by calculating the standard deviation (SD) over five years and adding a half SD to the most recent fall unduplicated headcount: 231.3497/2 = 115.6749 + 5,811 = 5,927.</w:t>
            </w:r>
          </w:p>
        </w:tc>
      </w:tr>
      <w:tr w:rsidR="00AA19DF" w:rsidRPr="00F03E38" w:rsidTr="00B67D97">
        <w:tc>
          <w:tcPr>
            <w:tcW w:w="3685" w:type="dxa"/>
            <w:vAlign w:val="center"/>
          </w:tcPr>
          <w:p w:rsidR="00AA19DF" w:rsidRDefault="00AA19DF" w:rsidP="006B4DB6">
            <w:pPr>
              <w:rPr>
                <w:sz w:val="20"/>
                <w:szCs w:val="20"/>
              </w:rPr>
            </w:pPr>
            <w:r>
              <w:rPr>
                <w:sz w:val="20"/>
                <w:szCs w:val="20"/>
              </w:rPr>
              <w:t>Annual Credit 320 FTES</w:t>
            </w:r>
          </w:p>
        </w:tc>
        <w:tc>
          <w:tcPr>
            <w:tcW w:w="789" w:type="dxa"/>
            <w:vAlign w:val="center"/>
          </w:tcPr>
          <w:p w:rsidR="00AA19DF" w:rsidRPr="00F03E38" w:rsidRDefault="00AA19DF" w:rsidP="006B4DB6">
            <w:pPr>
              <w:jc w:val="center"/>
              <w:rPr>
                <w:sz w:val="20"/>
                <w:szCs w:val="20"/>
              </w:rPr>
            </w:pPr>
            <w:r>
              <w:rPr>
                <w:sz w:val="20"/>
                <w:szCs w:val="20"/>
              </w:rPr>
              <w:t>4,916</w:t>
            </w:r>
          </w:p>
        </w:tc>
        <w:tc>
          <w:tcPr>
            <w:tcW w:w="6771" w:type="dxa"/>
            <w:shd w:val="clear" w:color="auto" w:fill="auto"/>
            <w:vAlign w:val="center"/>
          </w:tcPr>
          <w:p w:rsidR="00AA19DF" w:rsidRDefault="00AA19DF" w:rsidP="003615D4">
            <w:pPr>
              <w:rPr>
                <w:sz w:val="20"/>
                <w:szCs w:val="20"/>
              </w:rPr>
            </w:pPr>
            <w:r>
              <w:rPr>
                <w:sz w:val="20"/>
                <w:szCs w:val="20"/>
              </w:rPr>
              <w:t>Looking at a 1.5% increase over 4,843, which would be 4,916</w:t>
            </w:r>
            <w:r w:rsidR="00C604D5">
              <w:rPr>
                <w:sz w:val="20"/>
                <w:szCs w:val="20"/>
              </w:rPr>
              <w:t>.  This target is set each year by Crafton.</w:t>
            </w:r>
          </w:p>
        </w:tc>
      </w:tr>
      <w:tr w:rsidR="00AA19DF" w:rsidRPr="00F03E38" w:rsidTr="00B67D97">
        <w:tc>
          <w:tcPr>
            <w:tcW w:w="3685" w:type="dxa"/>
            <w:vAlign w:val="center"/>
          </w:tcPr>
          <w:p w:rsidR="00AA19DF" w:rsidRPr="00F03E38" w:rsidRDefault="00AA19DF" w:rsidP="00AE7B32">
            <w:pPr>
              <w:rPr>
                <w:sz w:val="20"/>
                <w:szCs w:val="20"/>
              </w:rPr>
            </w:pPr>
            <w:r>
              <w:rPr>
                <w:sz w:val="20"/>
                <w:szCs w:val="20"/>
              </w:rPr>
              <w:t xml:space="preserve">Demographic Diversity: </w:t>
            </w:r>
            <w:r w:rsidR="00AE7B32">
              <w:rPr>
                <w:sz w:val="20"/>
                <w:szCs w:val="20"/>
              </w:rPr>
              <w:t>Percent of African American, Hispanic, and Native American students</w:t>
            </w:r>
          </w:p>
        </w:tc>
        <w:tc>
          <w:tcPr>
            <w:tcW w:w="789" w:type="dxa"/>
            <w:vAlign w:val="center"/>
          </w:tcPr>
          <w:p w:rsidR="00AA19DF" w:rsidRPr="00F03E38" w:rsidRDefault="00035B4D" w:rsidP="006B4DB6">
            <w:pPr>
              <w:jc w:val="center"/>
              <w:rPr>
                <w:sz w:val="20"/>
                <w:szCs w:val="20"/>
              </w:rPr>
            </w:pPr>
            <w:r>
              <w:rPr>
                <w:sz w:val="20"/>
                <w:szCs w:val="20"/>
              </w:rPr>
              <w:t>54.8</w:t>
            </w:r>
          </w:p>
        </w:tc>
        <w:tc>
          <w:tcPr>
            <w:tcW w:w="6771" w:type="dxa"/>
            <w:shd w:val="clear" w:color="auto" w:fill="auto"/>
            <w:vAlign w:val="center"/>
          </w:tcPr>
          <w:p w:rsidR="00AA19DF" w:rsidRPr="00F03E38" w:rsidRDefault="00171566" w:rsidP="00AE7B32">
            <w:pPr>
              <w:rPr>
                <w:sz w:val="20"/>
                <w:szCs w:val="20"/>
              </w:rPr>
            </w:pPr>
            <w:r>
              <w:rPr>
                <w:sz w:val="20"/>
                <w:szCs w:val="20"/>
              </w:rPr>
              <w:t>Historically</w:t>
            </w:r>
            <w:r w:rsidR="00AA19DF">
              <w:rPr>
                <w:sz w:val="20"/>
                <w:szCs w:val="20"/>
              </w:rPr>
              <w:t xml:space="preserve"> underserved students </w:t>
            </w:r>
            <w:proofErr w:type="gramStart"/>
            <w:r w:rsidR="00AA19DF">
              <w:rPr>
                <w:sz w:val="20"/>
                <w:szCs w:val="20"/>
              </w:rPr>
              <w:t>are defined</w:t>
            </w:r>
            <w:proofErr w:type="gramEnd"/>
            <w:r w:rsidR="00AA19DF">
              <w:rPr>
                <w:sz w:val="20"/>
                <w:szCs w:val="20"/>
              </w:rPr>
              <w:t xml:space="preserve"> as African American, Hispanic, and Native American. The percentages </w:t>
            </w:r>
            <w:proofErr w:type="gramStart"/>
            <w:r w:rsidR="00AA19DF">
              <w:rPr>
                <w:sz w:val="20"/>
                <w:szCs w:val="20"/>
              </w:rPr>
              <w:t>were taken</w:t>
            </w:r>
            <w:proofErr w:type="gramEnd"/>
            <w:r w:rsidR="00AA19DF">
              <w:rPr>
                <w:sz w:val="20"/>
                <w:szCs w:val="20"/>
              </w:rPr>
              <w:t xml:space="preserve"> from the fall census reports.  Referring to the 2017 equity data, African American students were the only group disproportionately impacted in </w:t>
            </w:r>
            <w:r w:rsidR="00AE7B32">
              <w:rPr>
                <w:sz w:val="20"/>
                <w:szCs w:val="20"/>
              </w:rPr>
              <w:t xml:space="preserve">terms of access.  Referring to equity data, </w:t>
            </w:r>
            <w:r w:rsidR="00AA19DF">
              <w:rPr>
                <w:sz w:val="20"/>
                <w:szCs w:val="20"/>
              </w:rPr>
              <w:t xml:space="preserve">CHC has 4.3% AA and the population is 5.0%. Raising AA CHC population to 5% would be an increase of .7%.  Currently, Crafton is at 54.1%. The increase would be 54.1% + .7% or 54.8%. </w:t>
            </w:r>
          </w:p>
        </w:tc>
      </w:tr>
      <w:tr w:rsidR="00AA19DF" w:rsidRPr="00F03E38" w:rsidTr="00B67D97">
        <w:tc>
          <w:tcPr>
            <w:tcW w:w="3685" w:type="dxa"/>
            <w:vAlign w:val="center"/>
          </w:tcPr>
          <w:p w:rsidR="00AA19DF" w:rsidRPr="00F03E38" w:rsidRDefault="00AA19DF" w:rsidP="006B4DB6">
            <w:pPr>
              <w:rPr>
                <w:sz w:val="20"/>
                <w:szCs w:val="20"/>
              </w:rPr>
            </w:pPr>
            <w:r>
              <w:rPr>
                <w:sz w:val="20"/>
                <w:szCs w:val="20"/>
              </w:rPr>
              <w:t>Demographic Diversity: Percent Female</w:t>
            </w:r>
          </w:p>
        </w:tc>
        <w:tc>
          <w:tcPr>
            <w:tcW w:w="789" w:type="dxa"/>
            <w:vAlign w:val="center"/>
          </w:tcPr>
          <w:p w:rsidR="00AA19DF" w:rsidRPr="00F03E38" w:rsidRDefault="00035B4D" w:rsidP="006B4DB6">
            <w:pPr>
              <w:jc w:val="center"/>
              <w:rPr>
                <w:sz w:val="20"/>
                <w:szCs w:val="20"/>
              </w:rPr>
            </w:pPr>
            <w:r>
              <w:rPr>
                <w:sz w:val="20"/>
                <w:szCs w:val="20"/>
              </w:rPr>
              <w:t>52.0</w:t>
            </w:r>
          </w:p>
        </w:tc>
        <w:tc>
          <w:tcPr>
            <w:tcW w:w="6771" w:type="dxa"/>
            <w:vAlign w:val="center"/>
          </w:tcPr>
          <w:p w:rsidR="00AA19DF" w:rsidRPr="00F03E38" w:rsidRDefault="00035B4D" w:rsidP="003615D4">
            <w:pPr>
              <w:rPr>
                <w:sz w:val="20"/>
                <w:szCs w:val="20"/>
              </w:rPr>
            </w:pPr>
            <w:r>
              <w:rPr>
                <w:sz w:val="20"/>
                <w:szCs w:val="20"/>
              </w:rPr>
              <w:t xml:space="preserve">Continuously check the equity </w:t>
            </w:r>
            <w:r w:rsidR="00AE7B32">
              <w:rPr>
                <w:sz w:val="20"/>
                <w:szCs w:val="20"/>
              </w:rPr>
              <w:t xml:space="preserve">data </w:t>
            </w:r>
            <w:r>
              <w:rPr>
                <w:sz w:val="20"/>
                <w:szCs w:val="20"/>
              </w:rPr>
              <w:t>to ensure that there is no Disproportionate Impact</w:t>
            </w:r>
            <w:r w:rsidR="00D6199E">
              <w:rPr>
                <w:sz w:val="20"/>
                <w:szCs w:val="20"/>
              </w:rPr>
              <w:t xml:space="preserve"> (DI)</w:t>
            </w:r>
            <w:r>
              <w:rPr>
                <w:sz w:val="20"/>
                <w:szCs w:val="20"/>
              </w:rPr>
              <w:t>. The population percentage is 52% and</w:t>
            </w:r>
            <w:r w:rsidR="00AE7B32">
              <w:rPr>
                <w:sz w:val="20"/>
                <w:szCs w:val="20"/>
              </w:rPr>
              <w:t xml:space="preserve"> Crafton</w:t>
            </w:r>
            <w:r>
              <w:rPr>
                <w:sz w:val="20"/>
                <w:szCs w:val="20"/>
              </w:rPr>
              <w:t xml:space="preserve"> will seek to maintain this</w:t>
            </w:r>
            <w:r w:rsidR="00AE7B32">
              <w:rPr>
                <w:sz w:val="20"/>
                <w:szCs w:val="20"/>
              </w:rPr>
              <w:t xml:space="preserve"> percentage</w:t>
            </w:r>
            <w:r>
              <w:rPr>
                <w:sz w:val="20"/>
                <w:szCs w:val="20"/>
              </w:rPr>
              <w:t xml:space="preserve"> or higher.</w:t>
            </w:r>
          </w:p>
        </w:tc>
      </w:tr>
      <w:tr w:rsidR="00AA19DF" w:rsidRPr="00F03E38" w:rsidTr="00B67D97">
        <w:tc>
          <w:tcPr>
            <w:tcW w:w="3685" w:type="dxa"/>
            <w:vAlign w:val="center"/>
          </w:tcPr>
          <w:p w:rsidR="00AA19DF" w:rsidRPr="00F03E38" w:rsidRDefault="00AA19DF" w:rsidP="006B4DB6">
            <w:pPr>
              <w:rPr>
                <w:sz w:val="20"/>
                <w:szCs w:val="20"/>
              </w:rPr>
            </w:pPr>
            <w:r>
              <w:rPr>
                <w:sz w:val="20"/>
                <w:szCs w:val="20"/>
              </w:rPr>
              <w:t>Demographic Diversity: Average Age</w:t>
            </w:r>
          </w:p>
        </w:tc>
        <w:tc>
          <w:tcPr>
            <w:tcW w:w="789" w:type="dxa"/>
            <w:vAlign w:val="center"/>
          </w:tcPr>
          <w:p w:rsidR="00AA19DF" w:rsidRPr="00F03E38" w:rsidRDefault="00D6199E" w:rsidP="006B4DB6">
            <w:pPr>
              <w:jc w:val="center"/>
              <w:rPr>
                <w:sz w:val="20"/>
                <w:szCs w:val="20"/>
              </w:rPr>
            </w:pPr>
            <w:r>
              <w:rPr>
                <w:sz w:val="20"/>
                <w:szCs w:val="20"/>
              </w:rPr>
              <w:t>25</w:t>
            </w:r>
          </w:p>
        </w:tc>
        <w:tc>
          <w:tcPr>
            <w:tcW w:w="6771" w:type="dxa"/>
            <w:vAlign w:val="center"/>
          </w:tcPr>
          <w:p w:rsidR="00AA19DF" w:rsidRPr="00F03E38" w:rsidRDefault="00D6199E" w:rsidP="003615D4">
            <w:pPr>
              <w:rPr>
                <w:sz w:val="20"/>
                <w:szCs w:val="20"/>
              </w:rPr>
            </w:pPr>
            <w:r>
              <w:rPr>
                <w:sz w:val="20"/>
                <w:szCs w:val="20"/>
              </w:rPr>
              <w:t xml:space="preserve">Crafton’s average age has ranged from 23.7 to 24.3.  Currently, there is DI in age for students who are 34 years old or older.  An average age of 25 will help to reduce the DI for students who are 34 years old or older. </w:t>
            </w:r>
          </w:p>
        </w:tc>
      </w:tr>
      <w:tr w:rsidR="00AA19DF" w:rsidRPr="00F03E38" w:rsidTr="00B67D97">
        <w:tc>
          <w:tcPr>
            <w:tcW w:w="3685" w:type="dxa"/>
            <w:vAlign w:val="center"/>
          </w:tcPr>
          <w:p w:rsidR="00AA19DF" w:rsidRPr="00F03E38" w:rsidRDefault="009244FE" w:rsidP="006B4DB6">
            <w:pPr>
              <w:rPr>
                <w:sz w:val="20"/>
                <w:szCs w:val="20"/>
              </w:rPr>
            </w:pPr>
            <w:hyperlink r:id="rId39" w:anchor="action=DashboardView&amp;id=1388" w:history="1">
              <w:r w:rsidR="00AA19DF" w:rsidRPr="005C523E">
                <w:rPr>
                  <w:rStyle w:val="Hyperlink"/>
                  <w:sz w:val="20"/>
                  <w:szCs w:val="20"/>
                </w:rPr>
                <w:t>Fall Capture Rate</w:t>
              </w:r>
            </w:hyperlink>
            <w:r w:rsidR="00AA19DF">
              <w:rPr>
                <w:sz w:val="20"/>
                <w:szCs w:val="20"/>
              </w:rPr>
              <w:t xml:space="preserve"> (7 cities)</w:t>
            </w:r>
          </w:p>
        </w:tc>
        <w:tc>
          <w:tcPr>
            <w:tcW w:w="789" w:type="dxa"/>
            <w:vAlign w:val="center"/>
          </w:tcPr>
          <w:p w:rsidR="00AA19DF" w:rsidRPr="00F03E38" w:rsidRDefault="00AE7B32" w:rsidP="006B4DB6">
            <w:pPr>
              <w:jc w:val="center"/>
              <w:rPr>
                <w:sz w:val="20"/>
                <w:szCs w:val="20"/>
              </w:rPr>
            </w:pPr>
            <w:r>
              <w:rPr>
                <w:sz w:val="20"/>
                <w:szCs w:val="20"/>
              </w:rPr>
              <w:t>49.6</w:t>
            </w:r>
          </w:p>
        </w:tc>
        <w:tc>
          <w:tcPr>
            <w:tcW w:w="6771" w:type="dxa"/>
            <w:vAlign w:val="center"/>
          </w:tcPr>
          <w:p w:rsidR="00AA19DF" w:rsidRPr="00F03E38" w:rsidRDefault="00D6199E" w:rsidP="00AE7B32">
            <w:pPr>
              <w:rPr>
                <w:sz w:val="20"/>
                <w:szCs w:val="20"/>
              </w:rPr>
            </w:pPr>
            <w:r>
              <w:rPr>
                <w:sz w:val="20"/>
                <w:szCs w:val="20"/>
              </w:rPr>
              <w:t xml:space="preserve">Takes all of the community college students enrolled in Yucaipa, Mentone, Redlands, Highland, Loma Linda, Running Springs, and Lake Arrowhead and calculates percentage of community college students enrolled at Crafton.  </w:t>
            </w:r>
            <w:r w:rsidR="00AE7B32">
              <w:rPr>
                <w:sz w:val="20"/>
                <w:szCs w:val="20"/>
              </w:rPr>
              <w:t>Used the IEPI Target Methodology by calculating the standard deviation (SD) over five years and adding a half SD to the most recent fall capture rate: 1.1547/2 = .5774 + 49 = 49.6.</w:t>
            </w:r>
          </w:p>
        </w:tc>
      </w:tr>
      <w:tr w:rsidR="00AA19DF" w:rsidRPr="00F03E38" w:rsidTr="00B67D97">
        <w:tc>
          <w:tcPr>
            <w:tcW w:w="3685" w:type="dxa"/>
            <w:vAlign w:val="center"/>
          </w:tcPr>
          <w:p w:rsidR="00AA19DF" w:rsidRDefault="00AE7B32" w:rsidP="006B4DB6">
            <w:pPr>
              <w:rPr>
                <w:sz w:val="20"/>
                <w:szCs w:val="20"/>
              </w:rPr>
            </w:pPr>
            <w:r>
              <w:rPr>
                <w:sz w:val="20"/>
                <w:szCs w:val="20"/>
              </w:rPr>
              <w:t>Percent of Students with Increase in Wages (Skills Builder)</w:t>
            </w:r>
          </w:p>
        </w:tc>
        <w:tc>
          <w:tcPr>
            <w:tcW w:w="789" w:type="dxa"/>
            <w:vAlign w:val="center"/>
          </w:tcPr>
          <w:p w:rsidR="00AA19DF" w:rsidRPr="00F03E38" w:rsidRDefault="00AE7B32" w:rsidP="006B4DB6">
            <w:pPr>
              <w:jc w:val="center"/>
              <w:rPr>
                <w:sz w:val="20"/>
                <w:szCs w:val="20"/>
              </w:rPr>
            </w:pPr>
            <w:r>
              <w:rPr>
                <w:sz w:val="20"/>
                <w:szCs w:val="20"/>
              </w:rPr>
              <w:t>25.5</w:t>
            </w:r>
          </w:p>
        </w:tc>
        <w:tc>
          <w:tcPr>
            <w:tcW w:w="6771" w:type="dxa"/>
            <w:vAlign w:val="center"/>
          </w:tcPr>
          <w:p w:rsidR="00AA19DF" w:rsidRPr="00F03E38" w:rsidRDefault="00AE7B32" w:rsidP="00AE7B32">
            <w:pPr>
              <w:rPr>
                <w:sz w:val="20"/>
                <w:szCs w:val="20"/>
              </w:rPr>
            </w:pPr>
            <w:r w:rsidRPr="00AE7B32">
              <w:rPr>
                <w:rFonts w:eastAsia="Times New Roman" w:cstheme="minorHAnsi"/>
                <w:sz w:val="20"/>
                <w:szCs w:val="20"/>
              </w:rPr>
              <w:t xml:space="preserve">The median inflation adjusted wages before and after the year of enrollment for students who completed a SAM A, B, or C course of at least (.5 units) and passed all CTE coursework in a given academic year. These students were no longer enrolled anywhere in the system the following academic year and did not earn an award or transfer to a four year college the year of enrollment or the following year. </w:t>
            </w:r>
            <w:r>
              <w:rPr>
                <w:sz w:val="20"/>
                <w:szCs w:val="20"/>
              </w:rPr>
              <w:t>Used the IEPI Target Methodology by calculating the standard deviation (SD) over five years and adding a half SD to the most recent percent increase in wages: 4.9295/2 = 2.4648 + 23 = 25.5.</w:t>
            </w:r>
          </w:p>
        </w:tc>
      </w:tr>
      <w:tr w:rsidR="00AA19DF" w:rsidRPr="00F03E38" w:rsidTr="00B67D97">
        <w:tc>
          <w:tcPr>
            <w:tcW w:w="3685" w:type="dxa"/>
            <w:vAlign w:val="center"/>
          </w:tcPr>
          <w:p w:rsidR="00AA19DF" w:rsidRDefault="009244FE" w:rsidP="006B4DB6">
            <w:pPr>
              <w:rPr>
                <w:sz w:val="20"/>
                <w:szCs w:val="20"/>
              </w:rPr>
            </w:pPr>
            <w:hyperlink r:id="rId40" w:history="1">
              <w:r w:rsidR="00AA19DF" w:rsidRPr="005C523E">
                <w:rPr>
                  <w:rStyle w:val="Hyperlink"/>
                  <w:sz w:val="20"/>
                  <w:szCs w:val="20"/>
                </w:rPr>
                <w:t>Committee Self-Evaluations</w:t>
              </w:r>
            </w:hyperlink>
            <w:r w:rsidR="00AA19DF">
              <w:rPr>
                <w:sz w:val="20"/>
                <w:szCs w:val="20"/>
              </w:rPr>
              <w:t xml:space="preserve"> (5 questions)</w:t>
            </w:r>
          </w:p>
        </w:tc>
        <w:tc>
          <w:tcPr>
            <w:tcW w:w="789" w:type="dxa"/>
            <w:vAlign w:val="center"/>
          </w:tcPr>
          <w:p w:rsidR="00AA19DF" w:rsidRPr="00F03E38" w:rsidRDefault="00351B5D" w:rsidP="006B4DB6">
            <w:pPr>
              <w:jc w:val="center"/>
              <w:rPr>
                <w:sz w:val="20"/>
                <w:szCs w:val="20"/>
              </w:rPr>
            </w:pPr>
            <w:r>
              <w:rPr>
                <w:sz w:val="20"/>
                <w:szCs w:val="20"/>
              </w:rPr>
              <w:t>85.4</w:t>
            </w:r>
          </w:p>
        </w:tc>
        <w:tc>
          <w:tcPr>
            <w:tcW w:w="6771" w:type="dxa"/>
            <w:vAlign w:val="center"/>
          </w:tcPr>
          <w:p w:rsidR="00AA19DF" w:rsidRPr="00F03E38" w:rsidRDefault="00BC1221" w:rsidP="003615D4">
            <w:pPr>
              <w:rPr>
                <w:sz w:val="20"/>
                <w:szCs w:val="20"/>
              </w:rPr>
            </w:pPr>
            <w:r>
              <w:rPr>
                <w:sz w:val="20"/>
                <w:szCs w:val="20"/>
              </w:rPr>
              <w:t xml:space="preserve">The Committee Self-Evaluation </w:t>
            </w:r>
            <w:proofErr w:type="gramStart"/>
            <w:r>
              <w:rPr>
                <w:sz w:val="20"/>
                <w:szCs w:val="20"/>
              </w:rPr>
              <w:t>is administered</w:t>
            </w:r>
            <w:proofErr w:type="gramEnd"/>
            <w:r>
              <w:rPr>
                <w:sz w:val="20"/>
                <w:szCs w:val="20"/>
              </w:rPr>
              <w:t xml:space="preserve"> each spring to help assess the shared governance process at Crafton.  The committee self-evaluation consists of the following five questions: collaboration, transparency, evidence-based, effective, and efficient.</w:t>
            </w:r>
          </w:p>
        </w:tc>
      </w:tr>
      <w:tr w:rsidR="00AA19DF" w:rsidRPr="00F03E38" w:rsidTr="00B67D97">
        <w:tc>
          <w:tcPr>
            <w:tcW w:w="3685" w:type="dxa"/>
            <w:vAlign w:val="center"/>
          </w:tcPr>
          <w:p w:rsidR="00AA19DF" w:rsidRDefault="009244FE" w:rsidP="006B4DB6">
            <w:pPr>
              <w:rPr>
                <w:sz w:val="20"/>
                <w:szCs w:val="20"/>
              </w:rPr>
            </w:pPr>
            <w:hyperlink r:id="rId41" w:history="1">
              <w:r w:rsidR="00351B5D" w:rsidRPr="00FE3F43">
                <w:rPr>
                  <w:rStyle w:val="Hyperlink"/>
                  <w:sz w:val="20"/>
                  <w:szCs w:val="20"/>
                </w:rPr>
                <w:t>75/25 Ratio (FT/PT Ratio)</w:t>
              </w:r>
            </w:hyperlink>
            <w:r w:rsidR="00351B5D">
              <w:rPr>
                <w:rStyle w:val="Hyperlink"/>
                <w:sz w:val="20"/>
                <w:szCs w:val="20"/>
              </w:rPr>
              <w:t xml:space="preserve"> – Ultimate Target is 75</w:t>
            </w:r>
          </w:p>
        </w:tc>
        <w:tc>
          <w:tcPr>
            <w:tcW w:w="789" w:type="dxa"/>
            <w:vAlign w:val="center"/>
          </w:tcPr>
          <w:p w:rsidR="00AA19DF" w:rsidRPr="00F03E38" w:rsidRDefault="00351B5D" w:rsidP="006B4DB6">
            <w:pPr>
              <w:jc w:val="center"/>
              <w:rPr>
                <w:sz w:val="20"/>
                <w:szCs w:val="20"/>
              </w:rPr>
            </w:pPr>
            <w:r>
              <w:rPr>
                <w:sz w:val="20"/>
                <w:szCs w:val="20"/>
              </w:rPr>
              <w:t>37.8</w:t>
            </w:r>
          </w:p>
        </w:tc>
        <w:tc>
          <w:tcPr>
            <w:tcW w:w="6771" w:type="dxa"/>
            <w:vAlign w:val="center"/>
          </w:tcPr>
          <w:p w:rsidR="00AA19DF" w:rsidRPr="00F03E38" w:rsidRDefault="00351B5D" w:rsidP="00892FE3">
            <w:pPr>
              <w:rPr>
                <w:sz w:val="20"/>
                <w:szCs w:val="20"/>
              </w:rPr>
            </w:pPr>
            <w:r>
              <w:rPr>
                <w:sz w:val="20"/>
                <w:szCs w:val="20"/>
              </w:rPr>
              <w:t xml:space="preserve">The 75/25 ratio represents the percent of sections taught by FT faculty.  In 1988, Assembly Bill 1725 was signed </w:t>
            </w:r>
            <w:r w:rsidRPr="00351B5D">
              <w:rPr>
                <w:rFonts w:cstheme="minorHAnsi"/>
                <w:sz w:val="20"/>
                <w:szCs w:val="20"/>
              </w:rPr>
              <w:t xml:space="preserve">into </w:t>
            </w:r>
            <w:proofErr w:type="gramStart"/>
            <w:r w:rsidRPr="00351B5D">
              <w:rPr>
                <w:rFonts w:cstheme="minorHAnsi"/>
                <w:sz w:val="20"/>
                <w:szCs w:val="20"/>
              </w:rPr>
              <w:t>law which</w:t>
            </w:r>
            <w:proofErr w:type="gramEnd"/>
            <w:r w:rsidRPr="00351B5D">
              <w:rPr>
                <w:rFonts w:cstheme="minorHAnsi"/>
                <w:sz w:val="20"/>
                <w:szCs w:val="20"/>
              </w:rPr>
              <w:t xml:space="preserve"> included a requirement to increase the percentage of sections taught by FT faculty to 75%.  </w:t>
            </w:r>
            <w:r w:rsidRPr="00351B5D">
              <w:rPr>
                <w:rFonts w:cstheme="minorHAnsi"/>
                <w:color w:val="000000"/>
                <w:sz w:val="20"/>
                <w:szCs w:val="20"/>
              </w:rPr>
              <w:t xml:space="preserve">Historically, the </w:t>
            </w:r>
            <w:proofErr w:type="gramStart"/>
            <w:r w:rsidRPr="00351B5D">
              <w:rPr>
                <w:rFonts w:cstheme="minorHAnsi"/>
                <w:color w:val="000000"/>
                <w:sz w:val="20"/>
                <w:szCs w:val="20"/>
              </w:rPr>
              <w:t>Statewide 75/25</w:t>
            </w:r>
            <w:proofErr w:type="gramEnd"/>
            <w:r w:rsidRPr="00351B5D">
              <w:rPr>
                <w:rFonts w:cstheme="minorHAnsi"/>
                <w:color w:val="000000"/>
                <w:sz w:val="20"/>
                <w:szCs w:val="20"/>
              </w:rPr>
              <w:t xml:space="preserve"> ratio has been below 75% and the legislature has not provided the funding to help districts meet the 75/25 ratio.</w:t>
            </w:r>
            <w:r>
              <w:rPr>
                <w:rFonts w:cstheme="minorHAnsi"/>
                <w:color w:val="000000"/>
                <w:sz w:val="20"/>
                <w:szCs w:val="20"/>
              </w:rPr>
              <w:t xml:space="preserve"> </w:t>
            </w:r>
            <w:r>
              <w:rPr>
                <w:sz w:val="20"/>
                <w:szCs w:val="20"/>
              </w:rPr>
              <w:t xml:space="preserve">Used the IEPI Target Methodology by calculating the standard deviation (SD) over five years and adding a half SD to the most recent </w:t>
            </w:r>
            <w:r w:rsidR="00892FE3">
              <w:rPr>
                <w:sz w:val="20"/>
                <w:szCs w:val="20"/>
              </w:rPr>
              <w:t>75/25 ratio</w:t>
            </w:r>
            <w:r>
              <w:rPr>
                <w:sz w:val="20"/>
                <w:szCs w:val="20"/>
              </w:rPr>
              <w:t>: 5.5045/2 = 2.7523 + 35 = 37.8.</w:t>
            </w:r>
          </w:p>
        </w:tc>
      </w:tr>
      <w:tr w:rsidR="00B67D97" w:rsidRPr="00F03E38" w:rsidTr="00B67D97">
        <w:tc>
          <w:tcPr>
            <w:tcW w:w="3685" w:type="dxa"/>
            <w:vAlign w:val="center"/>
          </w:tcPr>
          <w:p w:rsidR="00B67D97" w:rsidRDefault="00B67D97" w:rsidP="00B67D97">
            <w:pPr>
              <w:rPr>
                <w:sz w:val="20"/>
                <w:szCs w:val="20"/>
              </w:rPr>
            </w:pPr>
            <w:r>
              <w:rPr>
                <w:sz w:val="20"/>
                <w:szCs w:val="20"/>
              </w:rPr>
              <w:t>Ratio of Square Footage to Custodial Staff</w:t>
            </w:r>
          </w:p>
        </w:tc>
        <w:tc>
          <w:tcPr>
            <w:tcW w:w="789" w:type="dxa"/>
            <w:vAlign w:val="center"/>
          </w:tcPr>
          <w:p w:rsidR="00B67D97" w:rsidRPr="00F03E38" w:rsidRDefault="00BC43F0" w:rsidP="006B4DB6">
            <w:pPr>
              <w:jc w:val="center"/>
              <w:rPr>
                <w:sz w:val="20"/>
                <w:szCs w:val="20"/>
              </w:rPr>
            </w:pPr>
            <w:r>
              <w:rPr>
                <w:sz w:val="20"/>
                <w:szCs w:val="20"/>
              </w:rPr>
              <w:t>15,000:1</w:t>
            </w:r>
          </w:p>
        </w:tc>
        <w:tc>
          <w:tcPr>
            <w:tcW w:w="6771" w:type="dxa"/>
            <w:vAlign w:val="center"/>
          </w:tcPr>
          <w:p w:rsidR="00B67D97" w:rsidRPr="00B67D97" w:rsidRDefault="00B67D97" w:rsidP="004733DA">
            <w:pPr>
              <w:rPr>
                <w:sz w:val="20"/>
                <w:szCs w:val="20"/>
              </w:rPr>
            </w:pPr>
            <w:r w:rsidRPr="00B67D97">
              <w:rPr>
                <w:sz w:val="20"/>
                <w:szCs w:val="20"/>
              </w:rPr>
              <w:t>The target of 15,000 square feet per custodian is the maximum-end of the industry standard for a public facility such as a college campus to allow for a decent level of cleaning. 10,000</w:t>
            </w:r>
            <w:r w:rsidR="004733DA">
              <w:rPr>
                <w:sz w:val="20"/>
                <w:szCs w:val="20"/>
              </w:rPr>
              <w:t>:1</w:t>
            </w:r>
            <w:r w:rsidRPr="00B67D97">
              <w:rPr>
                <w:sz w:val="20"/>
                <w:szCs w:val="20"/>
              </w:rPr>
              <w:t xml:space="preserve"> is optimum but not financially realistic.  The staffing formulae </w:t>
            </w:r>
            <w:r w:rsidR="004733DA">
              <w:rPr>
                <w:sz w:val="20"/>
                <w:szCs w:val="20"/>
              </w:rPr>
              <w:t>used is</w:t>
            </w:r>
            <w:r w:rsidRPr="00B67D97">
              <w:rPr>
                <w:sz w:val="20"/>
                <w:szCs w:val="20"/>
              </w:rPr>
              <w:t xml:space="preserve"> derived from APPA guidelines which determine</w:t>
            </w:r>
            <w:r w:rsidR="004733DA">
              <w:rPr>
                <w:sz w:val="20"/>
                <w:szCs w:val="20"/>
              </w:rPr>
              <w:t>s</w:t>
            </w:r>
            <w:r w:rsidRPr="00B67D97">
              <w:rPr>
                <w:sz w:val="20"/>
                <w:szCs w:val="20"/>
              </w:rPr>
              <w:t xml:space="preserve"> staffing numbers based on square footage, usage of that space (e.g. restroom vs office), occupancy, traffic, materials (such as carpet vs tile), and level of cleanliness desired.</w:t>
            </w:r>
            <w:r w:rsidR="00BC43F0">
              <w:rPr>
                <w:sz w:val="20"/>
                <w:szCs w:val="20"/>
              </w:rPr>
              <w:t xml:space="preserve">  In 2012-13 there was 191,239 square footage to 10 staff, 13-14 was 223,432 to 11, 14-15 was 232,551 to 11, 15-16 was 286,420 to 13, and 16-17 was 286,420 to 14.</w:t>
            </w:r>
          </w:p>
        </w:tc>
      </w:tr>
      <w:tr w:rsidR="00724B11" w:rsidRPr="00F03E38" w:rsidTr="00B67D97">
        <w:tc>
          <w:tcPr>
            <w:tcW w:w="3685" w:type="dxa"/>
            <w:vAlign w:val="center"/>
          </w:tcPr>
          <w:p w:rsidR="00724B11" w:rsidRDefault="00724B11" w:rsidP="00724B11">
            <w:pPr>
              <w:rPr>
                <w:sz w:val="20"/>
                <w:szCs w:val="20"/>
              </w:rPr>
            </w:pPr>
            <w:r>
              <w:rPr>
                <w:sz w:val="20"/>
                <w:szCs w:val="20"/>
              </w:rPr>
              <w:t>Student to Counselor Ratio</w:t>
            </w:r>
          </w:p>
        </w:tc>
        <w:tc>
          <w:tcPr>
            <w:tcW w:w="789" w:type="dxa"/>
            <w:vAlign w:val="center"/>
          </w:tcPr>
          <w:p w:rsidR="00724B11" w:rsidRPr="00F03E38" w:rsidRDefault="00094894" w:rsidP="00724B11">
            <w:pPr>
              <w:jc w:val="center"/>
              <w:rPr>
                <w:sz w:val="20"/>
                <w:szCs w:val="20"/>
              </w:rPr>
            </w:pPr>
            <w:r>
              <w:rPr>
                <w:sz w:val="20"/>
                <w:szCs w:val="20"/>
              </w:rPr>
              <w:t>616:1</w:t>
            </w:r>
          </w:p>
        </w:tc>
        <w:tc>
          <w:tcPr>
            <w:tcW w:w="6771" w:type="dxa"/>
            <w:vAlign w:val="center"/>
          </w:tcPr>
          <w:p w:rsidR="00724B11" w:rsidRPr="00F03E38" w:rsidRDefault="00094894" w:rsidP="00724B11">
            <w:pPr>
              <w:rPr>
                <w:sz w:val="20"/>
                <w:szCs w:val="20"/>
              </w:rPr>
            </w:pPr>
            <w:r>
              <w:rPr>
                <w:sz w:val="20"/>
                <w:szCs w:val="20"/>
              </w:rPr>
              <w:t xml:space="preserve">To set the target identified medium size, rural, and town California community colleges using IPEDS data.  Accordingly, the following colleges </w:t>
            </w:r>
            <w:proofErr w:type="gramStart"/>
            <w:r>
              <w:rPr>
                <w:sz w:val="20"/>
                <w:szCs w:val="20"/>
              </w:rPr>
              <w:t>were used</w:t>
            </w:r>
            <w:proofErr w:type="gramEnd"/>
            <w:r>
              <w:rPr>
                <w:sz w:val="20"/>
                <w:szCs w:val="20"/>
              </w:rPr>
              <w:t xml:space="preserve"> as comparison colleges to set a student-to-counseling ratio with the most recent data from the student scorecard data for Fall 2015: Cerro </w:t>
            </w:r>
            <w:proofErr w:type="spellStart"/>
            <w:r>
              <w:rPr>
                <w:sz w:val="20"/>
                <w:szCs w:val="20"/>
              </w:rPr>
              <w:t>Coso</w:t>
            </w:r>
            <w:proofErr w:type="spellEnd"/>
            <w:r>
              <w:rPr>
                <w:sz w:val="20"/>
                <w:szCs w:val="20"/>
              </w:rPr>
              <w:t xml:space="preserve"> (457:1), </w:t>
            </w:r>
            <w:proofErr w:type="spellStart"/>
            <w:r>
              <w:rPr>
                <w:sz w:val="20"/>
                <w:szCs w:val="20"/>
              </w:rPr>
              <w:t>Gavilan</w:t>
            </w:r>
            <w:proofErr w:type="spellEnd"/>
            <w:r>
              <w:rPr>
                <w:sz w:val="20"/>
                <w:szCs w:val="20"/>
              </w:rPr>
              <w:t xml:space="preserve"> (727:1), Las </w:t>
            </w:r>
            <w:proofErr w:type="spellStart"/>
            <w:r>
              <w:rPr>
                <w:sz w:val="20"/>
                <w:szCs w:val="20"/>
              </w:rPr>
              <w:t>Positas</w:t>
            </w:r>
            <w:proofErr w:type="spellEnd"/>
            <w:r>
              <w:rPr>
                <w:sz w:val="20"/>
                <w:szCs w:val="20"/>
              </w:rPr>
              <w:t xml:space="preserve"> (619:1), Mendocino (506:1), </w:t>
            </w:r>
            <w:proofErr w:type="spellStart"/>
            <w:r>
              <w:rPr>
                <w:sz w:val="20"/>
                <w:szCs w:val="20"/>
              </w:rPr>
              <w:t>Ohlone</w:t>
            </w:r>
            <w:proofErr w:type="spellEnd"/>
            <w:r>
              <w:rPr>
                <w:sz w:val="20"/>
                <w:szCs w:val="20"/>
              </w:rPr>
              <w:t xml:space="preserve"> (588:1), and Shasta (796:1).  The average was 616:1.  The State ratio happens to be 615:1.</w:t>
            </w:r>
          </w:p>
        </w:tc>
      </w:tr>
      <w:tr w:rsidR="00724B11" w:rsidRPr="00F03E38" w:rsidTr="00B67D97">
        <w:tc>
          <w:tcPr>
            <w:tcW w:w="3685" w:type="dxa"/>
            <w:vAlign w:val="center"/>
          </w:tcPr>
          <w:p w:rsidR="00724B11" w:rsidRPr="00F03E38" w:rsidRDefault="009244FE" w:rsidP="00724B11">
            <w:pPr>
              <w:rPr>
                <w:sz w:val="20"/>
                <w:szCs w:val="20"/>
              </w:rPr>
            </w:pPr>
            <w:hyperlink r:id="rId42" w:history="1">
              <w:r w:rsidR="00892FE3" w:rsidRPr="00AE7B32">
                <w:rPr>
                  <w:rStyle w:val="Hyperlink"/>
                  <w:sz w:val="20"/>
                  <w:szCs w:val="20"/>
                </w:rPr>
                <w:t>FTES / FTEF Ratio Percentage of 17.5</w:t>
              </w:r>
            </w:hyperlink>
            <w:r w:rsidR="00892FE3">
              <w:rPr>
                <w:sz w:val="20"/>
                <w:szCs w:val="20"/>
              </w:rPr>
              <w:t xml:space="preserve"> – Ultimate Target is 100%</w:t>
            </w:r>
          </w:p>
        </w:tc>
        <w:tc>
          <w:tcPr>
            <w:tcW w:w="789" w:type="dxa"/>
            <w:vAlign w:val="center"/>
          </w:tcPr>
          <w:p w:rsidR="00724B11" w:rsidRPr="00F03E38" w:rsidRDefault="00A31583" w:rsidP="00724B11">
            <w:pPr>
              <w:jc w:val="center"/>
              <w:rPr>
                <w:sz w:val="20"/>
                <w:szCs w:val="20"/>
              </w:rPr>
            </w:pPr>
            <w:r>
              <w:rPr>
                <w:sz w:val="20"/>
                <w:szCs w:val="20"/>
              </w:rPr>
              <w:t>83</w:t>
            </w:r>
          </w:p>
        </w:tc>
        <w:tc>
          <w:tcPr>
            <w:tcW w:w="6771" w:type="dxa"/>
            <w:vAlign w:val="center"/>
          </w:tcPr>
          <w:p w:rsidR="00724B11" w:rsidRPr="00892FE3" w:rsidRDefault="00892FE3" w:rsidP="00A31583">
            <w:pPr>
              <w:rPr>
                <w:rFonts w:cstheme="minorHAnsi"/>
                <w:sz w:val="20"/>
                <w:szCs w:val="20"/>
              </w:rPr>
            </w:pPr>
            <w:r w:rsidRPr="00892FE3">
              <w:rPr>
                <w:rFonts w:cstheme="minorHAnsi"/>
                <w:b/>
                <w:bCs/>
                <w:color w:val="000000"/>
                <w:sz w:val="20"/>
                <w:szCs w:val="20"/>
              </w:rPr>
              <w:t xml:space="preserve">FTES </w:t>
            </w:r>
            <w:r w:rsidRPr="00892FE3">
              <w:rPr>
                <w:rFonts w:cstheme="minorHAnsi"/>
                <w:color w:val="000000"/>
                <w:sz w:val="20"/>
                <w:szCs w:val="20"/>
              </w:rPr>
              <w:t>stands for Full-Time Equivalent Student and is the equivalent of one student taking courses totaling 15 hours per week (</w:t>
            </w:r>
            <w:proofErr w:type="spellStart"/>
            <w:r w:rsidRPr="00892FE3">
              <w:rPr>
                <w:rFonts w:cstheme="minorHAnsi"/>
                <w:color w:val="000000"/>
                <w:sz w:val="20"/>
                <w:szCs w:val="20"/>
              </w:rPr>
              <w:t>e.g.</w:t>
            </w:r>
            <w:proofErr w:type="gramStart"/>
            <w:r w:rsidRPr="00892FE3">
              <w:rPr>
                <w:rFonts w:cstheme="minorHAnsi"/>
                <w:color w:val="000000"/>
                <w:sz w:val="20"/>
                <w:szCs w:val="20"/>
              </w:rPr>
              <w:t>:five</w:t>
            </w:r>
            <w:proofErr w:type="spellEnd"/>
            <w:proofErr w:type="gramEnd"/>
            <w:r w:rsidRPr="00892FE3">
              <w:rPr>
                <w:rFonts w:cstheme="minorHAnsi"/>
                <w:color w:val="000000"/>
                <w:sz w:val="20"/>
                <w:szCs w:val="20"/>
              </w:rPr>
              <w:t xml:space="preserve"> 3-unit courses) each semester for two semesters. </w:t>
            </w:r>
            <w:r w:rsidRPr="00892FE3">
              <w:rPr>
                <w:rFonts w:cstheme="minorHAnsi"/>
                <w:b/>
                <w:bCs/>
                <w:color w:val="000000"/>
                <w:sz w:val="20"/>
                <w:szCs w:val="20"/>
              </w:rPr>
              <w:t>FTEF</w:t>
            </w:r>
            <w:r w:rsidRPr="00892FE3">
              <w:rPr>
                <w:rFonts w:cstheme="minorHAnsi"/>
                <w:color w:val="000000"/>
                <w:sz w:val="20"/>
                <w:szCs w:val="20"/>
              </w:rPr>
              <w:t xml:space="preserve"> stands for Full-Time Equivalent Faculty and refers to the load factor associated with each section assignment. For instance, one weekly census 3-unit section that meets 3 hours a week has a load factor of .20 or 20%. A full-time load in one primary term is considered </w:t>
            </w:r>
            <w:proofErr w:type="gramStart"/>
            <w:r w:rsidRPr="00892FE3">
              <w:rPr>
                <w:rFonts w:cstheme="minorHAnsi"/>
                <w:color w:val="000000"/>
                <w:sz w:val="20"/>
                <w:szCs w:val="20"/>
              </w:rPr>
              <w:t>to be 1</w:t>
            </w:r>
            <w:proofErr w:type="gramEnd"/>
            <w:r w:rsidRPr="00892FE3">
              <w:rPr>
                <w:rFonts w:cstheme="minorHAnsi"/>
                <w:color w:val="000000"/>
                <w:sz w:val="20"/>
                <w:szCs w:val="20"/>
              </w:rPr>
              <w:t xml:space="preserve"> FTE or five 3-unit sections. FTEF varies depending on the unit value of a course. </w:t>
            </w:r>
            <w:r w:rsidRPr="00892FE3">
              <w:rPr>
                <w:rFonts w:cstheme="minorHAnsi"/>
                <w:b/>
                <w:bCs/>
                <w:color w:val="000000"/>
                <w:sz w:val="20"/>
                <w:szCs w:val="20"/>
              </w:rPr>
              <w:t>FTES / FTEF</w:t>
            </w:r>
            <w:r w:rsidRPr="00892FE3">
              <w:rPr>
                <w:rFonts w:cstheme="minorHAnsi"/>
                <w:color w:val="000000"/>
                <w:sz w:val="20"/>
                <w:szCs w:val="20"/>
              </w:rPr>
              <w:t xml:space="preserve"> is another way to view productivity for instruction. An FTES / FTEF ratio of 17.5 is the equivalent of the WSCH / FTEF ratio of 525</w:t>
            </w:r>
            <w:proofErr w:type="gramStart"/>
            <w:r w:rsidRPr="00892FE3">
              <w:rPr>
                <w:rFonts w:cstheme="minorHAnsi"/>
                <w:color w:val="000000"/>
                <w:sz w:val="20"/>
                <w:szCs w:val="20"/>
              </w:rPr>
              <w:t>,and</w:t>
            </w:r>
            <w:proofErr w:type="gramEnd"/>
            <w:r w:rsidRPr="00892FE3">
              <w:rPr>
                <w:rFonts w:cstheme="minorHAnsi"/>
                <w:color w:val="000000"/>
                <w:sz w:val="20"/>
                <w:szCs w:val="20"/>
              </w:rPr>
              <w:t xml:space="preserve"> signifies that the discipline served 17.5 full-time students for every one full-time faculty. The </w:t>
            </w:r>
            <w:r w:rsidRPr="00892FE3">
              <w:rPr>
                <w:rFonts w:cstheme="minorHAnsi"/>
                <w:b/>
                <w:bCs/>
                <w:color w:val="000000"/>
                <w:sz w:val="20"/>
                <w:szCs w:val="20"/>
              </w:rPr>
              <w:t>FTES to FTEF Ratio / 17.5</w:t>
            </w:r>
            <w:r w:rsidRPr="00892FE3">
              <w:rPr>
                <w:rFonts w:cstheme="minorHAnsi"/>
                <w:color w:val="000000"/>
                <w:sz w:val="20"/>
                <w:szCs w:val="20"/>
              </w:rPr>
              <w:t xml:space="preserve"> illustrates the percent productivity in relation to meeting the WSCH / FTEF ratio target</w:t>
            </w:r>
            <w:r>
              <w:rPr>
                <w:rFonts w:cstheme="minorHAnsi"/>
                <w:color w:val="000000"/>
                <w:sz w:val="20"/>
                <w:szCs w:val="20"/>
              </w:rPr>
              <w:t xml:space="preserve">. </w:t>
            </w:r>
            <w:r w:rsidR="00A31583">
              <w:rPr>
                <w:sz w:val="20"/>
                <w:szCs w:val="20"/>
              </w:rPr>
              <w:t>Instructional Office set a target based on an 83%.</w:t>
            </w:r>
          </w:p>
        </w:tc>
      </w:tr>
      <w:tr w:rsidR="00AA19DF" w:rsidRPr="00F03E38" w:rsidTr="00B67D97">
        <w:tc>
          <w:tcPr>
            <w:tcW w:w="3685" w:type="dxa"/>
            <w:vAlign w:val="center"/>
          </w:tcPr>
          <w:p w:rsidR="00AA19DF" w:rsidRDefault="009244FE" w:rsidP="006B4DB6">
            <w:pPr>
              <w:rPr>
                <w:sz w:val="20"/>
                <w:szCs w:val="20"/>
              </w:rPr>
            </w:pPr>
            <w:hyperlink r:id="rId43" w:history="1">
              <w:r w:rsidR="00AA19DF" w:rsidRPr="005C523E">
                <w:rPr>
                  <w:rStyle w:val="Hyperlink"/>
                  <w:sz w:val="20"/>
                  <w:szCs w:val="20"/>
                </w:rPr>
                <w:t>WSCH/FTEF Ratio</w:t>
              </w:r>
            </w:hyperlink>
            <w:r w:rsidR="005C5924">
              <w:rPr>
                <w:sz w:val="20"/>
                <w:szCs w:val="20"/>
              </w:rPr>
              <w:t xml:space="preserve"> – Ultimate Target is 525</w:t>
            </w:r>
          </w:p>
        </w:tc>
        <w:tc>
          <w:tcPr>
            <w:tcW w:w="789" w:type="dxa"/>
            <w:vAlign w:val="center"/>
          </w:tcPr>
          <w:p w:rsidR="00AA19DF" w:rsidRPr="00F03E38" w:rsidRDefault="005C5924" w:rsidP="00A31583">
            <w:pPr>
              <w:jc w:val="center"/>
              <w:rPr>
                <w:sz w:val="20"/>
                <w:szCs w:val="20"/>
              </w:rPr>
            </w:pPr>
            <w:r>
              <w:rPr>
                <w:sz w:val="20"/>
                <w:szCs w:val="20"/>
              </w:rPr>
              <w:t>4</w:t>
            </w:r>
            <w:r w:rsidR="00A31583">
              <w:rPr>
                <w:sz w:val="20"/>
                <w:szCs w:val="20"/>
              </w:rPr>
              <w:t>36</w:t>
            </w:r>
          </w:p>
        </w:tc>
        <w:tc>
          <w:tcPr>
            <w:tcW w:w="6771" w:type="dxa"/>
            <w:vAlign w:val="center"/>
          </w:tcPr>
          <w:p w:rsidR="00AA19DF" w:rsidRPr="005C5924" w:rsidRDefault="005C5924" w:rsidP="00A31583">
            <w:pPr>
              <w:rPr>
                <w:rFonts w:cstheme="minorHAnsi"/>
                <w:sz w:val="20"/>
                <w:szCs w:val="20"/>
              </w:rPr>
            </w:pPr>
            <w:r w:rsidRPr="005C5924">
              <w:rPr>
                <w:rFonts w:cstheme="minorHAnsi"/>
                <w:b/>
                <w:bCs/>
                <w:color w:val="000000"/>
                <w:sz w:val="20"/>
                <w:szCs w:val="20"/>
              </w:rPr>
              <w:t xml:space="preserve">WSCH </w:t>
            </w:r>
            <w:r w:rsidRPr="005C5924">
              <w:rPr>
                <w:rFonts w:cstheme="minorHAnsi"/>
                <w:color w:val="000000"/>
                <w:sz w:val="20"/>
                <w:szCs w:val="20"/>
              </w:rPr>
              <w:t xml:space="preserve">refers to Weekly Student Contact Hours and is defined as the number of students in a class at census multiplied by the hours of student instruction conducted in that class in a week during a primary (fall or spring) term of an academic year. In a typical 3-unit course 35 students generate 105 WSCH (3 weekly hours * 35 students at census = 105 WSCH). </w:t>
            </w:r>
            <w:r w:rsidRPr="005C5924">
              <w:rPr>
                <w:rFonts w:cstheme="minorHAnsi"/>
                <w:b/>
                <w:bCs/>
                <w:color w:val="000000"/>
                <w:sz w:val="20"/>
                <w:szCs w:val="20"/>
              </w:rPr>
              <w:t>FTEF</w:t>
            </w:r>
            <w:r w:rsidRPr="005C5924">
              <w:rPr>
                <w:rFonts w:cstheme="minorHAnsi"/>
                <w:color w:val="000000"/>
                <w:sz w:val="20"/>
                <w:szCs w:val="20"/>
              </w:rPr>
              <w:t xml:space="preserve"> stands for Full-Time Equivalent Faculty and refers to the load factor associated with each section assignment. For instance, one weekly census 3-unit section that meets 3 hours a week has a load factor of .20 or 20%. A full-time load in one primary term is considered </w:t>
            </w:r>
            <w:proofErr w:type="gramStart"/>
            <w:r w:rsidRPr="005C5924">
              <w:rPr>
                <w:rFonts w:cstheme="minorHAnsi"/>
                <w:color w:val="000000"/>
                <w:sz w:val="20"/>
                <w:szCs w:val="20"/>
              </w:rPr>
              <w:t>to be 1</w:t>
            </w:r>
            <w:proofErr w:type="gramEnd"/>
            <w:r w:rsidRPr="005C5924">
              <w:rPr>
                <w:rFonts w:cstheme="minorHAnsi"/>
                <w:color w:val="000000"/>
                <w:sz w:val="20"/>
                <w:szCs w:val="20"/>
              </w:rPr>
              <w:t xml:space="preserve"> FTE or five 3-unit sections. FTEF varies depending on the unit value of a course.  </w:t>
            </w:r>
            <w:r w:rsidRPr="005C5924">
              <w:rPr>
                <w:rFonts w:cstheme="minorHAnsi"/>
                <w:b/>
                <w:bCs/>
                <w:color w:val="000000"/>
                <w:sz w:val="20"/>
                <w:szCs w:val="20"/>
              </w:rPr>
              <w:t>WSCH / FTEF</w:t>
            </w:r>
            <w:r w:rsidRPr="005C5924">
              <w:rPr>
                <w:rFonts w:cstheme="minorHAnsi"/>
                <w:color w:val="000000"/>
                <w:sz w:val="20"/>
                <w:szCs w:val="20"/>
              </w:rPr>
              <w:t xml:space="preserve"> is the productivity measure used for instruction. 35 students in a typical 3-unit weekly census course with a .20 load factor generate a WSCH / FTEF ratio of 525 (3 * 35 = 105 / .20 = 525),</w:t>
            </w:r>
            <w:r w:rsidR="00A31583">
              <w:rPr>
                <w:rFonts w:cstheme="minorHAnsi"/>
                <w:color w:val="000000"/>
                <w:sz w:val="20"/>
                <w:szCs w:val="20"/>
              </w:rPr>
              <w:t xml:space="preserve"> </w:t>
            </w:r>
            <w:r w:rsidRPr="005C5924">
              <w:rPr>
                <w:rFonts w:cstheme="minorHAnsi"/>
                <w:color w:val="000000"/>
                <w:sz w:val="20"/>
                <w:szCs w:val="20"/>
              </w:rPr>
              <w:t>which is the norm for California community colleges.</w:t>
            </w:r>
            <w:r>
              <w:rPr>
                <w:rFonts w:cstheme="minorHAnsi"/>
                <w:color w:val="000000"/>
                <w:sz w:val="20"/>
                <w:szCs w:val="20"/>
              </w:rPr>
              <w:t xml:space="preserve"> </w:t>
            </w:r>
            <w:r w:rsidR="00A31583">
              <w:rPr>
                <w:sz w:val="20"/>
                <w:szCs w:val="20"/>
              </w:rPr>
              <w:t>Instructional Office set a target based on an 83% efficiency resulting in an efficiency WSCH/FTEF ratio of 436.</w:t>
            </w:r>
          </w:p>
        </w:tc>
      </w:tr>
    </w:tbl>
    <w:p w:rsidR="002F735F" w:rsidRDefault="002F735F" w:rsidP="008445B9"/>
    <w:sectPr w:rsidR="002F735F" w:rsidSect="00654A49">
      <w:pgSz w:w="12240" w:h="15840"/>
      <w:pgMar w:top="1440" w:right="720" w:bottom="1440" w:left="450" w:header="54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4FE" w:rsidRDefault="009244FE" w:rsidP="00807ED6">
      <w:pPr>
        <w:spacing w:after="0" w:line="240" w:lineRule="auto"/>
      </w:pPr>
      <w:r>
        <w:separator/>
      </w:r>
    </w:p>
  </w:endnote>
  <w:endnote w:type="continuationSeparator" w:id="0">
    <w:p w:rsidR="009244FE" w:rsidRDefault="009244FE" w:rsidP="0080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92382915"/>
      <w:docPartObj>
        <w:docPartGallery w:val="Page Numbers (Bottom of Page)"/>
        <w:docPartUnique/>
      </w:docPartObj>
    </w:sdtPr>
    <w:sdtEndPr>
      <w:rPr>
        <w:noProof/>
      </w:rPr>
    </w:sdtEndPr>
    <w:sdtContent>
      <w:p w:rsidR="00BD68EC" w:rsidRDefault="00BD68EC" w:rsidP="00BD68EC">
        <w:pPr>
          <w:pStyle w:val="Footer"/>
          <w:tabs>
            <w:tab w:val="clear" w:pos="4680"/>
            <w:tab w:val="clear" w:pos="9360"/>
            <w:tab w:val="right" w:pos="12960"/>
          </w:tabs>
          <w:rPr>
            <w:sz w:val="16"/>
            <w:szCs w:val="16"/>
          </w:rPr>
        </w:pPr>
        <w:r w:rsidRPr="00BD68EC">
          <w:rPr>
            <w:sz w:val="16"/>
            <w:szCs w:val="16"/>
          </w:rPr>
          <w:fldChar w:fldCharType="begin"/>
        </w:r>
        <w:r w:rsidRPr="00BD68EC">
          <w:rPr>
            <w:sz w:val="16"/>
            <w:szCs w:val="16"/>
          </w:rPr>
          <w:instrText xml:space="preserve"> PAGE   \* MERGEFORMAT </w:instrText>
        </w:r>
        <w:r w:rsidRPr="00BD68EC">
          <w:rPr>
            <w:sz w:val="16"/>
            <w:szCs w:val="16"/>
          </w:rPr>
          <w:fldChar w:fldCharType="separate"/>
        </w:r>
        <w:r w:rsidR="004A76ED">
          <w:rPr>
            <w:noProof/>
            <w:sz w:val="16"/>
            <w:szCs w:val="16"/>
          </w:rPr>
          <w:t>5</w:t>
        </w:r>
        <w:r w:rsidRPr="00BD68EC">
          <w:rPr>
            <w:noProof/>
            <w:sz w:val="16"/>
            <w:szCs w:val="16"/>
          </w:rPr>
          <w:fldChar w:fldCharType="end"/>
        </w:r>
        <w:r w:rsidRPr="00BD68EC">
          <w:rPr>
            <w:sz w:val="16"/>
            <w:szCs w:val="16"/>
          </w:rPr>
          <w:t xml:space="preserve"> </w:t>
        </w:r>
        <w:r>
          <w:rPr>
            <w:sz w:val="16"/>
            <w:szCs w:val="16"/>
          </w:rPr>
          <w:tab/>
          <w:t>Prepared by Keith Wurtz</w:t>
        </w:r>
      </w:p>
      <w:p w:rsidR="00BD68EC" w:rsidRDefault="00BD68EC" w:rsidP="00BD68EC">
        <w:pPr>
          <w:pStyle w:val="Footer"/>
          <w:tabs>
            <w:tab w:val="clear" w:pos="4680"/>
            <w:tab w:val="clear" w:pos="9360"/>
            <w:tab w:val="right" w:pos="12960"/>
          </w:tabs>
          <w:rPr>
            <w:sz w:val="16"/>
            <w:szCs w:val="16"/>
          </w:rPr>
        </w:pPr>
        <w:r>
          <w:rPr>
            <w:sz w:val="16"/>
            <w:szCs w:val="16"/>
          </w:rPr>
          <w:tab/>
          <w:t>Date: 20170328, Revised: 20171024</w:t>
        </w:r>
      </w:p>
      <w:p w:rsidR="00E73573" w:rsidRPr="00E73573" w:rsidRDefault="00BD68EC" w:rsidP="00BD68EC">
        <w:pPr>
          <w:pStyle w:val="Footer"/>
          <w:tabs>
            <w:tab w:val="clear" w:pos="4680"/>
            <w:tab w:val="clear" w:pos="9360"/>
            <w:tab w:val="right" w:pos="12960"/>
          </w:tabs>
          <w:rPr>
            <w:sz w:val="16"/>
            <w:szCs w:val="16"/>
          </w:rPr>
        </w:pPr>
        <w:r>
          <w:rPr>
            <w:sz w:val="16"/>
            <w:szCs w:val="16"/>
          </w:rPr>
          <w:tab/>
          <w:t>Draft_EMPC_Scorecard4.docx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4FE" w:rsidRDefault="009244FE" w:rsidP="00807ED6">
      <w:pPr>
        <w:spacing w:after="0" w:line="240" w:lineRule="auto"/>
      </w:pPr>
      <w:r>
        <w:separator/>
      </w:r>
    </w:p>
  </w:footnote>
  <w:footnote w:type="continuationSeparator" w:id="0">
    <w:p w:rsidR="009244FE" w:rsidRDefault="009244FE" w:rsidP="0080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ED6" w:rsidRPr="00807ED6" w:rsidRDefault="009244FE" w:rsidP="00807ED6">
    <w:pPr>
      <w:pStyle w:val="Header"/>
      <w:jc w:val="center"/>
      <w:rPr>
        <w:b/>
      </w:rPr>
    </w:pPr>
    <w:sdt>
      <w:sdtPr>
        <w:rPr>
          <w:b/>
        </w:rPr>
        <w:id w:val="-99483342"/>
        <w:docPartObj>
          <w:docPartGallery w:val="Watermarks"/>
          <w:docPartUnique/>
        </w:docPartObj>
      </w:sdtPr>
      <w:sdtEndPr/>
      <w:sdtContent>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7ED6" w:rsidRPr="00807ED6">
      <w:rPr>
        <w:b/>
      </w:rPr>
      <w:t>Crafton Hills College</w:t>
    </w:r>
  </w:p>
  <w:p w:rsidR="00807ED6" w:rsidRPr="00807ED6" w:rsidRDefault="004A76ED" w:rsidP="00807ED6">
    <w:pPr>
      <w:pStyle w:val="Header"/>
      <w:jc w:val="center"/>
      <w:rPr>
        <w:b/>
      </w:rPr>
    </w:pPr>
    <w:r>
      <w:rPr>
        <w:b/>
      </w:rPr>
      <w:t>Comprehensive</w:t>
    </w:r>
    <w:r w:rsidR="00807ED6" w:rsidRPr="00807ED6">
      <w:rPr>
        <w:b/>
      </w:rPr>
      <w:t xml:space="preserve"> Master Plan Scorecard</w:t>
    </w:r>
  </w:p>
  <w:p w:rsidR="00807ED6" w:rsidRPr="00807ED6" w:rsidRDefault="00807ED6" w:rsidP="00807ED6">
    <w:pPr>
      <w:pStyle w:val="Header"/>
      <w:jc w:val="center"/>
      <w:rPr>
        <w:b/>
      </w:rPr>
    </w:pPr>
    <w:r w:rsidRPr="00807ED6">
      <w:rPr>
        <w:b/>
      </w:rPr>
      <w:t>201</w:t>
    </w:r>
    <w:r w:rsidR="00F71453">
      <w:rPr>
        <w:b/>
      </w:rPr>
      <w:t>2</w:t>
    </w:r>
    <w:r w:rsidRPr="00807ED6">
      <w:rPr>
        <w:b/>
      </w:rPr>
      <w:t>-201</w:t>
    </w:r>
    <w:r w:rsidR="00F71453">
      <w:rPr>
        <w:b/>
      </w:rPr>
      <w:t>3</w:t>
    </w:r>
    <w:r w:rsidRPr="00807ED6">
      <w:rPr>
        <w:b/>
      </w:rPr>
      <w:t xml:space="preserve"> to 201</w:t>
    </w:r>
    <w:r w:rsidR="00F71453">
      <w:rPr>
        <w:b/>
      </w:rPr>
      <w:t>6</w:t>
    </w:r>
    <w:r w:rsidRPr="00807ED6">
      <w:rPr>
        <w:b/>
      </w:rPr>
      <w:t>-201</w:t>
    </w:r>
    <w:r w:rsidR="00F71453">
      <w:rPr>
        <w:b/>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22887"/>
    <w:multiLevelType w:val="hybridMultilevel"/>
    <w:tmpl w:val="7070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D6"/>
    <w:rsid w:val="00005261"/>
    <w:rsid w:val="000354FB"/>
    <w:rsid w:val="00035B4D"/>
    <w:rsid w:val="000360FC"/>
    <w:rsid w:val="00042F2B"/>
    <w:rsid w:val="00051CFB"/>
    <w:rsid w:val="00067099"/>
    <w:rsid w:val="00072B5D"/>
    <w:rsid w:val="00077E6F"/>
    <w:rsid w:val="0008714F"/>
    <w:rsid w:val="00094894"/>
    <w:rsid w:val="000A32E0"/>
    <w:rsid w:val="000A7354"/>
    <w:rsid w:val="000B337E"/>
    <w:rsid w:val="000D0CCF"/>
    <w:rsid w:val="000F680E"/>
    <w:rsid w:val="000F7EC5"/>
    <w:rsid w:val="00101024"/>
    <w:rsid w:val="00121550"/>
    <w:rsid w:val="0015119A"/>
    <w:rsid w:val="00171566"/>
    <w:rsid w:val="001911E0"/>
    <w:rsid w:val="001A0ABE"/>
    <w:rsid w:val="001A15F3"/>
    <w:rsid w:val="001A7B90"/>
    <w:rsid w:val="001D0020"/>
    <w:rsid w:val="001E5C4F"/>
    <w:rsid w:val="002305FC"/>
    <w:rsid w:val="00237EB8"/>
    <w:rsid w:val="00243458"/>
    <w:rsid w:val="00255980"/>
    <w:rsid w:val="002650E5"/>
    <w:rsid w:val="002746DB"/>
    <w:rsid w:val="002811D8"/>
    <w:rsid w:val="002854E6"/>
    <w:rsid w:val="00286AB5"/>
    <w:rsid w:val="002C2B6C"/>
    <w:rsid w:val="002C2D02"/>
    <w:rsid w:val="002F735F"/>
    <w:rsid w:val="0030566F"/>
    <w:rsid w:val="00346793"/>
    <w:rsid w:val="00351B5D"/>
    <w:rsid w:val="00354AC7"/>
    <w:rsid w:val="003615D4"/>
    <w:rsid w:val="00375B94"/>
    <w:rsid w:val="00393ED1"/>
    <w:rsid w:val="00395895"/>
    <w:rsid w:val="003A2D68"/>
    <w:rsid w:val="003A658E"/>
    <w:rsid w:val="003B16AA"/>
    <w:rsid w:val="003C1BF3"/>
    <w:rsid w:val="003C45EB"/>
    <w:rsid w:val="00401F23"/>
    <w:rsid w:val="00415313"/>
    <w:rsid w:val="004157FC"/>
    <w:rsid w:val="004677D2"/>
    <w:rsid w:val="004733DA"/>
    <w:rsid w:val="0047592D"/>
    <w:rsid w:val="004809A1"/>
    <w:rsid w:val="00480CF2"/>
    <w:rsid w:val="004A377B"/>
    <w:rsid w:val="004A76ED"/>
    <w:rsid w:val="004E589D"/>
    <w:rsid w:val="00506B53"/>
    <w:rsid w:val="005079D4"/>
    <w:rsid w:val="005121C8"/>
    <w:rsid w:val="005273A0"/>
    <w:rsid w:val="0059632F"/>
    <w:rsid w:val="005A4E41"/>
    <w:rsid w:val="005C523E"/>
    <w:rsid w:val="005C5924"/>
    <w:rsid w:val="005C6C86"/>
    <w:rsid w:val="005D6D75"/>
    <w:rsid w:val="005E2524"/>
    <w:rsid w:val="005E2A59"/>
    <w:rsid w:val="005F174D"/>
    <w:rsid w:val="005F548A"/>
    <w:rsid w:val="00615ED4"/>
    <w:rsid w:val="00626C97"/>
    <w:rsid w:val="00640DDA"/>
    <w:rsid w:val="00641DD1"/>
    <w:rsid w:val="00650F7F"/>
    <w:rsid w:val="00654A49"/>
    <w:rsid w:val="00656C11"/>
    <w:rsid w:val="00673209"/>
    <w:rsid w:val="00673EA4"/>
    <w:rsid w:val="0067739A"/>
    <w:rsid w:val="006A1452"/>
    <w:rsid w:val="006B5638"/>
    <w:rsid w:val="006D75A5"/>
    <w:rsid w:val="006F7503"/>
    <w:rsid w:val="00724B11"/>
    <w:rsid w:val="0076543A"/>
    <w:rsid w:val="007668AF"/>
    <w:rsid w:val="00781BC9"/>
    <w:rsid w:val="0079067D"/>
    <w:rsid w:val="00792EFF"/>
    <w:rsid w:val="007A2213"/>
    <w:rsid w:val="007A25BC"/>
    <w:rsid w:val="007B205B"/>
    <w:rsid w:val="007E0D68"/>
    <w:rsid w:val="007F6CD5"/>
    <w:rsid w:val="00807ED6"/>
    <w:rsid w:val="008352AF"/>
    <w:rsid w:val="008445B9"/>
    <w:rsid w:val="0085336A"/>
    <w:rsid w:val="008869C3"/>
    <w:rsid w:val="008902A0"/>
    <w:rsid w:val="00892FE3"/>
    <w:rsid w:val="008A4BA9"/>
    <w:rsid w:val="008F4FE9"/>
    <w:rsid w:val="009140D5"/>
    <w:rsid w:val="009244FE"/>
    <w:rsid w:val="00932189"/>
    <w:rsid w:val="0095392E"/>
    <w:rsid w:val="0097165D"/>
    <w:rsid w:val="00983008"/>
    <w:rsid w:val="009972FE"/>
    <w:rsid w:val="009A01C9"/>
    <w:rsid w:val="009B00B7"/>
    <w:rsid w:val="00A05339"/>
    <w:rsid w:val="00A31583"/>
    <w:rsid w:val="00A32B97"/>
    <w:rsid w:val="00A47288"/>
    <w:rsid w:val="00A51787"/>
    <w:rsid w:val="00A645BD"/>
    <w:rsid w:val="00A73CE0"/>
    <w:rsid w:val="00AA19DF"/>
    <w:rsid w:val="00AA45D7"/>
    <w:rsid w:val="00AB320C"/>
    <w:rsid w:val="00AC07FA"/>
    <w:rsid w:val="00AD7FE2"/>
    <w:rsid w:val="00AE7B32"/>
    <w:rsid w:val="00AF0108"/>
    <w:rsid w:val="00B14010"/>
    <w:rsid w:val="00B205EA"/>
    <w:rsid w:val="00B24B7D"/>
    <w:rsid w:val="00B2660C"/>
    <w:rsid w:val="00B3034A"/>
    <w:rsid w:val="00B44D77"/>
    <w:rsid w:val="00B47AA8"/>
    <w:rsid w:val="00B67D97"/>
    <w:rsid w:val="00B7040C"/>
    <w:rsid w:val="00B8058E"/>
    <w:rsid w:val="00B85CAF"/>
    <w:rsid w:val="00BC1221"/>
    <w:rsid w:val="00BC43F0"/>
    <w:rsid w:val="00BD68EC"/>
    <w:rsid w:val="00BF22BC"/>
    <w:rsid w:val="00C43F52"/>
    <w:rsid w:val="00C51E06"/>
    <w:rsid w:val="00C604D5"/>
    <w:rsid w:val="00C6076D"/>
    <w:rsid w:val="00C70ABA"/>
    <w:rsid w:val="00C70AC1"/>
    <w:rsid w:val="00C922D9"/>
    <w:rsid w:val="00CB42F9"/>
    <w:rsid w:val="00CE395E"/>
    <w:rsid w:val="00CF0535"/>
    <w:rsid w:val="00D26A1D"/>
    <w:rsid w:val="00D55E3B"/>
    <w:rsid w:val="00D6199E"/>
    <w:rsid w:val="00D73B54"/>
    <w:rsid w:val="00DB5BA2"/>
    <w:rsid w:val="00DD5F59"/>
    <w:rsid w:val="00DE0384"/>
    <w:rsid w:val="00E050A6"/>
    <w:rsid w:val="00E25CDF"/>
    <w:rsid w:val="00E533CA"/>
    <w:rsid w:val="00E56185"/>
    <w:rsid w:val="00E5707E"/>
    <w:rsid w:val="00E65E34"/>
    <w:rsid w:val="00E7348C"/>
    <w:rsid w:val="00E73573"/>
    <w:rsid w:val="00E775DF"/>
    <w:rsid w:val="00E82B6F"/>
    <w:rsid w:val="00E90786"/>
    <w:rsid w:val="00E94922"/>
    <w:rsid w:val="00EB4372"/>
    <w:rsid w:val="00EC330D"/>
    <w:rsid w:val="00ED0C71"/>
    <w:rsid w:val="00ED15AE"/>
    <w:rsid w:val="00ED38E5"/>
    <w:rsid w:val="00EE5277"/>
    <w:rsid w:val="00EF5966"/>
    <w:rsid w:val="00EF5C9B"/>
    <w:rsid w:val="00F03E38"/>
    <w:rsid w:val="00F35069"/>
    <w:rsid w:val="00F47429"/>
    <w:rsid w:val="00F51AEB"/>
    <w:rsid w:val="00F71453"/>
    <w:rsid w:val="00F753BE"/>
    <w:rsid w:val="00F75643"/>
    <w:rsid w:val="00F943DE"/>
    <w:rsid w:val="00FD6B9E"/>
    <w:rsid w:val="00FD6FEF"/>
    <w:rsid w:val="00FE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48D84B"/>
  <w15:chartTrackingRefBased/>
  <w15:docId w15:val="{37EEBCDA-1A4C-4746-B2EC-40C3DFF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ED6"/>
    <w:pPr>
      <w:ind w:left="720"/>
      <w:contextualSpacing/>
    </w:pPr>
  </w:style>
  <w:style w:type="paragraph" w:styleId="Header">
    <w:name w:val="header"/>
    <w:basedOn w:val="Normal"/>
    <w:link w:val="HeaderChar"/>
    <w:uiPriority w:val="99"/>
    <w:unhideWhenUsed/>
    <w:rsid w:val="0080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ED6"/>
  </w:style>
  <w:style w:type="paragraph" w:styleId="Footer">
    <w:name w:val="footer"/>
    <w:basedOn w:val="Normal"/>
    <w:link w:val="FooterChar"/>
    <w:uiPriority w:val="99"/>
    <w:unhideWhenUsed/>
    <w:rsid w:val="0080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ED6"/>
  </w:style>
  <w:style w:type="character" w:styleId="Hyperlink">
    <w:name w:val="Hyperlink"/>
    <w:basedOn w:val="DefaultParagraphFont"/>
    <w:uiPriority w:val="99"/>
    <w:unhideWhenUsed/>
    <w:rsid w:val="005C523E"/>
    <w:rPr>
      <w:color w:val="0563C1" w:themeColor="hyperlink"/>
      <w:u w:val="single"/>
    </w:rPr>
  </w:style>
  <w:style w:type="character" w:styleId="FollowedHyperlink">
    <w:name w:val="FollowedHyperlink"/>
    <w:basedOn w:val="DefaultParagraphFont"/>
    <w:uiPriority w:val="99"/>
    <w:semiHidden/>
    <w:unhideWhenUsed/>
    <w:rsid w:val="003A2D68"/>
    <w:rPr>
      <w:color w:val="954F72" w:themeColor="followedHyperlink"/>
      <w:u w:val="single"/>
    </w:rPr>
  </w:style>
  <w:style w:type="paragraph" w:styleId="BalloonText">
    <w:name w:val="Balloon Text"/>
    <w:basedOn w:val="Normal"/>
    <w:link w:val="BalloonTextChar"/>
    <w:uiPriority w:val="99"/>
    <w:semiHidden/>
    <w:unhideWhenUsed/>
    <w:rsid w:val="000B3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49418">
      <w:bodyDiv w:val="1"/>
      <w:marLeft w:val="0"/>
      <w:marRight w:val="0"/>
      <w:marTop w:val="0"/>
      <w:marBottom w:val="0"/>
      <w:divBdr>
        <w:top w:val="none" w:sz="0" w:space="0" w:color="auto"/>
        <w:left w:val="none" w:sz="0" w:space="0" w:color="auto"/>
        <w:bottom w:val="none" w:sz="0" w:space="0" w:color="auto"/>
        <w:right w:val="none" w:sz="0" w:space="0" w:color="auto"/>
      </w:divBdr>
      <w:divsChild>
        <w:div w:id="1425806624">
          <w:marLeft w:val="0"/>
          <w:marRight w:val="0"/>
          <w:marTop w:val="0"/>
          <w:marBottom w:val="0"/>
          <w:divBdr>
            <w:top w:val="none" w:sz="0" w:space="0" w:color="auto"/>
            <w:left w:val="none" w:sz="0" w:space="0" w:color="auto"/>
            <w:bottom w:val="none" w:sz="0" w:space="0" w:color="auto"/>
            <w:right w:val="none" w:sz="0" w:space="0" w:color="auto"/>
          </w:divBdr>
        </w:div>
        <w:div w:id="1983462964">
          <w:marLeft w:val="0"/>
          <w:marRight w:val="0"/>
          <w:marTop w:val="0"/>
          <w:marBottom w:val="0"/>
          <w:divBdr>
            <w:top w:val="none" w:sz="0" w:space="0" w:color="auto"/>
            <w:left w:val="none" w:sz="0" w:space="0" w:color="auto"/>
            <w:bottom w:val="none" w:sz="0" w:space="0" w:color="auto"/>
            <w:right w:val="none" w:sz="0" w:space="0" w:color="auto"/>
          </w:divBdr>
        </w:div>
        <w:div w:id="1637448159">
          <w:marLeft w:val="0"/>
          <w:marRight w:val="0"/>
          <w:marTop w:val="0"/>
          <w:marBottom w:val="0"/>
          <w:divBdr>
            <w:top w:val="none" w:sz="0" w:space="0" w:color="auto"/>
            <w:left w:val="none" w:sz="0" w:space="0" w:color="auto"/>
            <w:bottom w:val="none" w:sz="0" w:space="0" w:color="auto"/>
            <w:right w:val="none" w:sz="0" w:space="0" w:color="auto"/>
          </w:divBdr>
        </w:div>
        <w:div w:id="44722213">
          <w:marLeft w:val="0"/>
          <w:marRight w:val="0"/>
          <w:marTop w:val="0"/>
          <w:marBottom w:val="0"/>
          <w:divBdr>
            <w:top w:val="none" w:sz="0" w:space="0" w:color="auto"/>
            <w:left w:val="none" w:sz="0" w:space="0" w:color="auto"/>
            <w:bottom w:val="none" w:sz="0" w:space="0" w:color="auto"/>
            <w:right w:val="none" w:sz="0" w:space="0" w:color="auto"/>
          </w:divBdr>
        </w:div>
        <w:div w:id="1812751196">
          <w:marLeft w:val="0"/>
          <w:marRight w:val="0"/>
          <w:marTop w:val="0"/>
          <w:marBottom w:val="0"/>
          <w:divBdr>
            <w:top w:val="none" w:sz="0" w:space="0" w:color="auto"/>
            <w:left w:val="none" w:sz="0" w:space="0" w:color="auto"/>
            <w:bottom w:val="none" w:sz="0" w:space="0" w:color="auto"/>
            <w:right w:val="none" w:sz="0" w:space="0" w:color="auto"/>
          </w:divBdr>
        </w:div>
        <w:div w:id="196812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er.sbccd.cc.ca.us:1443/DashboardViewer.html?embedToken=0616f0c3-3b4d-4b73-a281-a430da98e9fd" TargetMode="External"/><Relationship Id="rId18" Type="http://schemas.openxmlformats.org/officeDocument/2006/relationships/hyperlink" Target="https://public.tableau.com/views/CaptureRate/CaptureRateDashboard?:embed=y&amp;:display_count=yes&amp;publish=yes&amp;:showVizHome=no" TargetMode="External"/><Relationship Id="rId26" Type="http://schemas.openxmlformats.org/officeDocument/2006/relationships/hyperlink" Target="https://informer.sbccd.cc.ca.us:1443/DashboardViewer.html?embedToken=a74db875-b221-48c3-ac9b-6a47aff68260" TargetMode="External"/><Relationship Id="rId39" Type="http://schemas.openxmlformats.org/officeDocument/2006/relationships/hyperlink" Target="https://informer.sbccd.cc.ca.us:1443/?locale=en_US" TargetMode="External"/><Relationship Id="rId21" Type="http://schemas.openxmlformats.org/officeDocument/2006/relationships/hyperlink" Target="https://public.tableau.com/views/WSCHFTEFRatio/WSCHFTEFRatioDashboard?:embed=y&amp;:display_count=yes&amp;publish=yes&amp;:showVizHome=no" TargetMode="External"/><Relationship Id="rId34" Type="http://schemas.openxmlformats.org/officeDocument/2006/relationships/hyperlink" Target="https://informer.sbccd.cc.ca.us:1443/DashboardViewer.html?embedToken=0616f0c3-3b4d-4b73-a281-a430da98e9fd" TargetMode="External"/><Relationship Id="rId42" Type="http://schemas.openxmlformats.org/officeDocument/2006/relationships/hyperlink" Target="https://public.tableau.com/views/WSCHFTEFRatio/WSCHFTEFRatioDashboard?:embed=y&amp;:display_count=yes&amp;publish=yes&amp;:showVizHome=no" TargetMode="External"/><Relationship Id="rId7" Type="http://schemas.openxmlformats.org/officeDocument/2006/relationships/hyperlink" Target="https://public.tableau.com/views/PPRCompletionandSuccess/CraftonHillsandSanBernardinoValleyCollegeCompletionandSuccessRates?:embed=y&amp;:display_count=yes&amp;publish=yes&amp;:showVizHome=no" TargetMode="External"/><Relationship Id="rId2" Type="http://schemas.openxmlformats.org/officeDocument/2006/relationships/styles" Target="styles.xml"/><Relationship Id="rId16" Type="http://schemas.openxmlformats.org/officeDocument/2006/relationships/hyperlink" Target="https://informer.sbccd.cc.ca.us:1443/DashboardViewer.html?embedToken=0616f0c3-3b4d-4b73-a281-a430da98e9fd" TargetMode="External"/><Relationship Id="rId29" Type="http://schemas.openxmlformats.org/officeDocument/2006/relationships/hyperlink" Target="https://informer.sbccd.cc.ca.us:1443/DashboardViewer.html?locale=en_US&amp;embedToken=b8b5d08a-a99a-4da2-8c50-3dcb64fbf48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rmer.sbccd.cc.ca.us:1443/DashboardViewer.html?embedToken=d0702a8e-8013-4bd9-b3b6-91a009d7b44a" TargetMode="External"/><Relationship Id="rId24" Type="http://schemas.openxmlformats.org/officeDocument/2006/relationships/footer" Target="footer1.xml"/><Relationship Id="rId32" Type="http://schemas.openxmlformats.org/officeDocument/2006/relationships/hyperlink" Target="https://informer.sbccd.cc.ca.us:1443/DashboardViewer.html?embedToken=d0702a8e-8013-4bd9-b3b6-91a009d7b44a" TargetMode="External"/><Relationship Id="rId37" Type="http://schemas.openxmlformats.org/officeDocument/2006/relationships/hyperlink" Target="https://informer.sbccd.cc.ca.us:1443/DashboardViewer.html?embedToken=0616f0c3-3b4d-4b73-a281-a430da98e9fd" TargetMode="External"/><Relationship Id="rId40" Type="http://schemas.openxmlformats.org/officeDocument/2006/relationships/hyperlink" Target="https://informer.sbccd.cc.ca.us:1443/DashboardViewer.html?embedToken=f860b2bd-b8f8-4f4f-8009-c3e3acfbeb32"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former.sbccd.cc.ca.us:1443/DashboardViewer.html?embedToken=0616f0c3-3b4d-4b73-a281-a430da98e9fd" TargetMode="External"/><Relationship Id="rId23" Type="http://schemas.openxmlformats.org/officeDocument/2006/relationships/header" Target="header1.xml"/><Relationship Id="rId28" Type="http://schemas.openxmlformats.org/officeDocument/2006/relationships/hyperlink" Target="https://informer.sbccd.cc.ca.us:1443/DashboardViewer.html?locale=en_US&amp;embedToken=71e29e92-fb40-4dcd-b739-d31839076470" TargetMode="External"/><Relationship Id="rId36" Type="http://schemas.openxmlformats.org/officeDocument/2006/relationships/hyperlink" Target="https://informer.sbccd.cc.ca.us:1443/DashboardViewer.html?embedToken=0616f0c3-3b4d-4b73-a281-a430da98e9fd" TargetMode="External"/><Relationship Id="rId10" Type="http://schemas.openxmlformats.org/officeDocument/2006/relationships/hyperlink" Target="https://public.tableau.com/views/DegreeandCertificateEarners/CraftonHillsandSanBernardinoValleyCollegeDegreesandCertificatesAwarded?:embed=y&amp;:display_count=yes&amp;publish=yes&amp;:showVizHome=no" TargetMode="External"/><Relationship Id="rId19" Type="http://schemas.openxmlformats.org/officeDocument/2006/relationships/hyperlink" Target="https://informer.sbccd.cc.ca.us:1443/DashboardViewer.html?embedToken=f860b2bd-b8f8-4f4f-8009-c3e3acfbeb32" TargetMode="External"/><Relationship Id="rId31" Type="http://schemas.openxmlformats.org/officeDocument/2006/relationships/hyperlink" Target="http://asd.calstate.edu/performance/index.s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rmer.sbccd.cc.ca.us:1443/DashboardViewer.html?locale=en_US&amp;embedToken=71e29e92-fb40-4dcd-b739-d31839076470" TargetMode="External"/><Relationship Id="rId14" Type="http://schemas.openxmlformats.org/officeDocument/2006/relationships/hyperlink" Target="https://informer.sbccd.cc.ca.us:1443/DashboardViewer.html?embedToken=0616f0c3-3b4d-4b73-a281-a430da98e9fd" TargetMode="External"/><Relationship Id="rId22" Type="http://schemas.openxmlformats.org/officeDocument/2006/relationships/hyperlink" Target="https://informer.sbccd.cc.ca.us:1443/DashboardViewer.html?embedToken=9d54bd31-29e7-4a8c-bf90-796a8ac1b576" TargetMode="External"/><Relationship Id="rId27" Type="http://schemas.openxmlformats.org/officeDocument/2006/relationships/hyperlink" Target="https://informer.sbccd.cc.ca.us:1443/DashboardViewer.html?embedToken=71e29e92-fb40-4dcd-b739-d31839076470" TargetMode="External"/><Relationship Id="rId30" Type="http://schemas.openxmlformats.org/officeDocument/2006/relationships/hyperlink" Target="https://informer.sbccd.cc.ca.us:1443/DashboardViewer.html?embedToken=ba8d29b9-3283-4fb7-b577-5ceb0604004c" TargetMode="External"/><Relationship Id="rId35" Type="http://schemas.openxmlformats.org/officeDocument/2006/relationships/hyperlink" Target="https://informer.sbccd.cc.ca.us:1443/DashboardViewer.html?embedToken=0616f0c3-3b4d-4b73-a281-a430da98e9fd" TargetMode="External"/><Relationship Id="rId43" Type="http://schemas.openxmlformats.org/officeDocument/2006/relationships/hyperlink" Target="https://informer.sbccd.cc.ca.us:1443/DashboardViewer.html?embedToken=9d54bd31-29e7-4a8c-bf90-796a8ac1b576" TargetMode="External"/><Relationship Id="rId8" Type="http://schemas.openxmlformats.org/officeDocument/2006/relationships/hyperlink" Target="https://informer.sbccd.cc.ca.us:1443/DashboardViewer.html?embedToken=71e29e92-fb40-4dcd-b739-d31839076470" TargetMode="External"/><Relationship Id="rId3" Type="http://schemas.openxmlformats.org/officeDocument/2006/relationships/settings" Target="settings.xml"/><Relationship Id="rId12" Type="http://schemas.openxmlformats.org/officeDocument/2006/relationships/hyperlink" Target="https://informer.sbccd.cc.ca.us:1443/DashboardViewer.html?embedToken=b0fe5b4a-d5b4-4e7f-900e-33206eea1fc2" TargetMode="External"/><Relationship Id="rId17" Type="http://schemas.openxmlformats.org/officeDocument/2006/relationships/hyperlink" Target="https://informer.sbccd.cc.ca.us:1443/DashboardViewer.html?embedToken=0616f0c3-3b4d-4b73-a281-a430da98e9fd" TargetMode="External"/><Relationship Id="rId25" Type="http://schemas.openxmlformats.org/officeDocument/2006/relationships/hyperlink" Target="https://public.tableau.com/views/PPRCompletionandSuccess/CraftonHillsandSanBernardinoValleyCollegeCompletionandSuccessRates?:embed=y&amp;:display_count=yes&amp;publish=yes&amp;:showVizHome=no" TargetMode="External"/><Relationship Id="rId33" Type="http://schemas.openxmlformats.org/officeDocument/2006/relationships/hyperlink" Target="https://informer.sbccd.cc.ca.us:1443/DashboardViewer.html?embedToken=b0fe5b4a-d5b4-4e7f-900e-33206eea1fc2" TargetMode="External"/><Relationship Id="rId38" Type="http://schemas.openxmlformats.org/officeDocument/2006/relationships/hyperlink" Target="https://informer.sbccd.cc.ca.us:1443/DashboardViewer.html?embedToken=0616f0c3-3b4d-4b73-a281-a430da98e9fd" TargetMode="External"/><Relationship Id="rId20" Type="http://schemas.openxmlformats.org/officeDocument/2006/relationships/hyperlink" Target="https://public.tableau.com/views/75-25Ratio/7525RatioDashboard?:embed=y&amp;:display_count=yes&amp;publish=yes&amp;:showVizHome=no" TargetMode="External"/><Relationship Id="rId41" Type="http://schemas.openxmlformats.org/officeDocument/2006/relationships/hyperlink" Target="https://public.tableau.com/views/75-25Ratio/7525RatioDashboard?:embed=y&amp;:display_count=yes&amp;publish=yes&amp;:showVizHom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Wurtz, Dr. Keith A</dc:creator>
  <cp:keywords/>
  <dc:description/>
  <cp:lastModifiedBy>Wurtz, Keith A</cp:lastModifiedBy>
  <cp:revision>15</cp:revision>
  <cp:lastPrinted>2017-10-11T23:14:00Z</cp:lastPrinted>
  <dcterms:created xsi:type="dcterms:W3CDTF">2017-10-11T21:51:00Z</dcterms:created>
  <dcterms:modified xsi:type="dcterms:W3CDTF">2017-10-25T02:30:00Z</dcterms:modified>
</cp:coreProperties>
</file>