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4.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5.xml" ContentType="application/vnd.openxmlformats-officedocument.drawingml.chartshapes+xml"/>
  <Override PartName="/word/charts/chart24.xml" ContentType="application/vnd.openxmlformats-officedocument.drawingml.chart+xml"/>
  <Override PartName="/word/drawings/drawing6.xml" ContentType="application/vnd.openxmlformats-officedocument.drawingml.chartshapes+xml"/>
  <Override PartName="/word/charts/chart25.xml" ContentType="application/vnd.openxmlformats-officedocument.drawingml.chart+xml"/>
  <Override PartName="/word/drawings/drawing7.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1.xml" ContentType="application/vnd.openxmlformats-officedocument.themeOverride+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theme/themeOverride3.xml" ContentType="application/vnd.openxmlformats-officedocument.themeOverride+xml"/>
  <Override PartName="/word/charts/chart35.xml" ContentType="application/vnd.openxmlformats-officedocument.drawingml.chart+xml"/>
  <Override PartName="/word/theme/themeOverride4.xml" ContentType="application/vnd.openxmlformats-officedocument.themeOverride+xml"/>
  <Override PartName="/word/charts/chart36.xml" ContentType="application/vnd.openxmlformats-officedocument.drawingml.chart+xml"/>
  <Override PartName="/word/theme/themeOverride5.xml" ContentType="application/vnd.openxmlformats-officedocument.themeOverride+xml"/>
  <Override PartName="/word/charts/chart37.xml" ContentType="application/vnd.openxmlformats-officedocument.drawingml.chart+xml"/>
  <Override PartName="/word/theme/themeOverride6.xml" ContentType="application/vnd.openxmlformats-officedocument.themeOverride+xml"/>
  <Override PartName="/word/charts/chart38.xml" ContentType="application/vnd.openxmlformats-officedocument.drawingml.chart+xml"/>
  <Override PartName="/word/theme/themeOverride7.xml" ContentType="application/vnd.openxmlformats-officedocument.themeOverride+xml"/>
  <Override PartName="/word/charts/chart39.xml" ContentType="application/vnd.openxmlformats-officedocument.drawingml.chart+xml"/>
  <Override PartName="/word/theme/themeOverride8.xml" ContentType="application/vnd.openxmlformats-officedocument.themeOverride+xml"/>
  <Override PartName="/word/charts/chart40.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theme/themeOverride10.xml" ContentType="application/vnd.openxmlformats-officedocument.themeOverride+xml"/>
  <Override PartName="/word/charts/chart42.xml" ContentType="application/vnd.openxmlformats-officedocument.drawingml.chart+xml"/>
  <Override PartName="/word/theme/themeOverride11.xml" ContentType="application/vnd.openxmlformats-officedocument.themeOverride+xml"/>
  <Override PartName="/word/charts/chart43.xml" ContentType="application/vnd.openxmlformats-officedocument.drawingml.chart+xml"/>
  <Override PartName="/word/theme/themeOverride12.xml" ContentType="application/vnd.openxmlformats-officedocument.themeOverride+xml"/>
  <Override PartName="/word/charts/chart44.xml" ContentType="application/vnd.openxmlformats-officedocument.drawingml.chart+xml"/>
  <Override PartName="/word/theme/themeOverride13.xml" ContentType="application/vnd.openxmlformats-officedocument.themeOverride+xml"/>
  <Override PartName="/word/charts/chart45.xml" ContentType="application/vnd.openxmlformats-officedocument.drawingml.chart+xml"/>
  <Override PartName="/word/theme/themeOverride14.xml" ContentType="application/vnd.openxmlformats-officedocument.themeOverride+xml"/>
  <Override PartName="/word/charts/chart46.xml" ContentType="application/vnd.openxmlformats-officedocument.drawingml.chart+xml"/>
  <Override PartName="/word/theme/themeOverride15.xml" ContentType="application/vnd.openxmlformats-officedocument.themeOverride+xml"/>
  <Override PartName="/word/charts/chart47.xml" ContentType="application/vnd.openxmlformats-officedocument.drawingml.chart+xml"/>
  <Override PartName="/word/theme/themeOverride16.xml" ContentType="application/vnd.openxmlformats-officedocument.themeOverride+xml"/>
  <Override PartName="/word/charts/chart48.xml" ContentType="application/vnd.openxmlformats-officedocument.drawingml.chart+xml"/>
  <Override PartName="/word/theme/themeOverride17.xml" ContentType="application/vnd.openxmlformats-officedocument.themeOverride+xml"/>
  <Override PartName="/word/charts/chart49.xml" ContentType="application/vnd.openxmlformats-officedocument.drawingml.chart+xml"/>
  <Override PartName="/word/theme/themeOverride18.xml" ContentType="application/vnd.openxmlformats-officedocument.themeOverride+xml"/>
  <Override PartName="/word/charts/chart50.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D1889" w:rsidRDefault="00136838">
      <w:pPr>
        <w:pStyle w:val="Title"/>
      </w:pPr>
      <w:bookmarkStart w:id="0" w:name="h.gjdgxs" w:colFirst="0" w:colLast="0"/>
      <w:bookmarkEnd w:id="0"/>
      <w:r>
        <w:rPr>
          <w:b/>
          <w:smallCaps/>
          <w:sz w:val="48"/>
          <w:szCs w:val="48"/>
        </w:rPr>
        <w:t>Crafton Hills College</w:t>
      </w:r>
    </w:p>
    <w:p w:rsidR="00AD1889" w:rsidRDefault="00136838">
      <w:pPr>
        <w:pStyle w:val="Title"/>
      </w:pPr>
      <w:r>
        <w:rPr>
          <w:sz w:val="40"/>
          <w:szCs w:val="40"/>
        </w:rPr>
        <w:t>Education Master Plan Outline</w:t>
      </w:r>
    </w:p>
    <w:p w:rsidR="00AD1889" w:rsidRDefault="00136838" w:rsidP="00A816B4">
      <w:pPr>
        <w:pStyle w:val="Heading1"/>
        <w:numPr>
          <w:ilvl w:val="0"/>
          <w:numId w:val="2"/>
        </w:numPr>
      </w:pPr>
      <w:bookmarkStart w:id="1" w:name="h.30j0zll" w:colFirst="0" w:colLast="0"/>
      <w:bookmarkEnd w:id="1"/>
      <w:r>
        <w:t>Message From College Leadership</w:t>
      </w:r>
    </w:p>
    <w:p w:rsidR="00AD1889" w:rsidRPr="00E55B94" w:rsidRDefault="00136838">
      <w:pPr>
        <w:rPr>
          <w:rFonts w:asciiTheme="minorHAnsi" w:hAnsiTheme="minorHAnsi"/>
          <w:i/>
          <w:color w:val="0070C0"/>
        </w:rPr>
      </w:pPr>
      <w:r w:rsidRPr="00E55B94">
        <w:rPr>
          <w:rFonts w:asciiTheme="minorHAnsi" w:hAnsiTheme="minorHAnsi"/>
          <w:i/>
          <w:color w:val="0070C0"/>
        </w:rPr>
        <w:t>This one page section provides an opening introductory message from college leadership.</w:t>
      </w:r>
    </w:p>
    <w:p w:rsidR="00AD1889" w:rsidRDefault="00AD1889"/>
    <w:p w:rsidR="00AD1889" w:rsidRDefault="00AD1889"/>
    <w:p w:rsidR="00AD1889" w:rsidRDefault="00AD1889"/>
    <w:p w:rsidR="00AD1889" w:rsidRDefault="00AD1889"/>
    <w:p w:rsidR="00AD1889" w:rsidRDefault="00AD1889"/>
    <w:p w:rsidR="00AD1889" w:rsidRDefault="00AD1889"/>
    <w:p w:rsidR="00AD1889" w:rsidRDefault="00136838">
      <w:r>
        <w:br w:type="page"/>
      </w:r>
    </w:p>
    <w:p w:rsidR="00AD1889" w:rsidRDefault="00136838" w:rsidP="00A816B4">
      <w:pPr>
        <w:pStyle w:val="Heading1"/>
        <w:numPr>
          <w:ilvl w:val="0"/>
          <w:numId w:val="2"/>
        </w:numPr>
      </w:pPr>
      <w:bookmarkStart w:id="2" w:name="h.1fob9te" w:colFirst="0" w:colLast="0"/>
      <w:bookmarkEnd w:id="2"/>
      <w:r>
        <w:lastRenderedPageBreak/>
        <w:t>Plan Overview</w:t>
      </w:r>
    </w:p>
    <w:p w:rsidR="007B3DD4" w:rsidRPr="00D646BC" w:rsidRDefault="00136838" w:rsidP="007B3DD4">
      <w:pPr>
        <w:rPr>
          <w:rFonts w:asciiTheme="minorHAnsi" w:hAnsiTheme="minorHAnsi"/>
          <w:i/>
          <w:color w:val="0070C0"/>
        </w:rPr>
      </w:pPr>
      <w:r w:rsidRPr="00D646BC">
        <w:rPr>
          <w:rFonts w:asciiTheme="minorHAnsi" w:hAnsiTheme="minorHAnsi"/>
          <w:i/>
          <w:color w:val="0070C0"/>
        </w:rPr>
        <w:t>This section of the document outlines the Strategic Directions and their subordinate Objectives with colorful graphics, meaningful photographs, and short explanatory narratives to draw readers in and highlight the overall plan from a 30,000 foot level.</w:t>
      </w:r>
    </w:p>
    <w:p w:rsidR="007B3DD4" w:rsidRDefault="007B3DD4" w:rsidP="007B3DD4">
      <w:pPr>
        <w:rPr>
          <w:rFonts w:ascii="Calibri" w:eastAsia="Calibri" w:hAnsi="Calibri" w:cs="Calibri"/>
          <w:b/>
          <w:color w:val="auto"/>
          <w:sz w:val="28"/>
          <w:szCs w:val="28"/>
        </w:rPr>
      </w:pPr>
      <w:r>
        <w:rPr>
          <w:rFonts w:ascii="Calibri" w:eastAsia="Calibri" w:hAnsi="Calibri" w:cs="Calibri"/>
          <w:b/>
          <w:color w:val="auto"/>
          <w:sz w:val="28"/>
          <w:szCs w:val="28"/>
        </w:rPr>
        <w:t>Strategic Directions</w:t>
      </w:r>
    </w:p>
    <w:p w:rsidR="007B3DD4" w:rsidRPr="00D646BC" w:rsidRDefault="00136838" w:rsidP="007B3DD4">
      <w:pPr>
        <w:rPr>
          <w:rFonts w:asciiTheme="minorHAnsi" w:eastAsia="Calibri" w:hAnsiTheme="minorHAnsi" w:cs="Calibri"/>
          <w:b/>
          <w:color w:val="auto"/>
          <w:sz w:val="24"/>
          <w:szCs w:val="24"/>
        </w:rPr>
      </w:pPr>
      <w:r w:rsidRPr="00D646BC">
        <w:rPr>
          <w:rFonts w:asciiTheme="minorHAnsi" w:eastAsia="Calibri" w:hAnsiTheme="minorHAnsi" w:cs="Calibri"/>
          <w:b/>
          <w:color w:val="auto"/>
          <w:sz w:val="24"/>
          <w:szCs w:val="24"/>
        </w:rPr>
        <w:t>SD 1: Promote Student Success</w:t>
      </w:r>
    </w:p>
    <w:p w:rsidR="007B3DD4" w:rsidRPr="00D646BC" w:rsidRDefault="00136838" w:rsidP="007B3DD4">
      <w:pPr>
        <w:rPr>
          <w:rFonts w:asciiTheme="minorHAnsi" w:eastAsia="Calibri" w:hAnsiTheme="minorHAnsi" w:cs="Calibri"/>
          <w:sz w:val="24"/>
          <w:szCs w:val="24"/>
        </w:rPr>
      </w:pPr>
      <w:r w:rsidRPr="00D646BC">
        <w:rPr>
          <w:rFonts w:asciiTheme="minorHAnsi" w:eastAsia="Calibri" w:hAnsiTheme="minorHAnsi" w:cs="Calibri"/>
          <w:sz w:val="24"/>
          <w:szCs w:val="24"/>
        </w:rPr>
        <w:t>CHC students encounter life-changing experiences that promote their academic success, career advancement, and personal development.</w:t>
      </w:r>
    </w:p>
    <w:p w:rsidR="007B3DD4" w:rsidRPr="00D646BC" w:rsidRDefault="007B3DD4" w:rsidP="00775E5A">
      <w:pPr>
        <w:pStyle w:val="ListParagraph"/>
        <w:numPr>
          <w:ilvl w:val="1"/>
          <w:numId w:val="8"/>
        </w:numPr>
        <w:ind w:left="810"/>
        <w:rPr>
          <w:rFonts w:asciiTheme="minorHAnsi" w:eastAsia="Calibri" w:hAnsiTheme="minorHAnsi" w:cs="Calibri"/>
          <w:sz w:val="24"/>
          <w:szCs w:val="24"/>
        </w:rPr>
      </w:pPr>
      <w:r w:rsidRPr="00D646BC">
        <w:rPr>
          <w:rFonts w:asciiTheme="minorHAnsi" w:eastAsia="Calibri" w:hAnsiTheme="minorHAnsi" w:cs="Calibri"/>
          <w:sz w:val="24"/>
          <w:szCs w:val="24"/>
        </w:rPr>
        <w:t>Support, guide, and empower every student to achieve their goals.</w:t>
      </w:r>
    </w:p>
    <w:p w:rsidR="007B3DD4" w:rsidRPr="00D646BC" w:rsidRDefault="007B3DD4" w:rsidP="00775E5A">
      <w:pPr>
        <w:pStyle w:val="ListParagraph"/>
        <w:numPr>
          <w:ilvl w:val="1"/>
          <w:numId w:val="8"/>
        </w:numPr>
        <w:ind w:left="810"/>
        <w:rPr>
          <w:rFonts w:asciiTheme="minorHAnsi" w:eastAsia="Calibri" w:hAnsiTheme="minorHAnsi" w:cs="Calibri"/>
          <w:sz w:val="24"/>
          <w:szCs w:val="24"/>
        </w:rPr>
      </w:pPr>
      <w:r w:rsidRPr="00D646BC">
        <w:rPr>
          <w:rFonts w:asciiTheme="minorHAnsi" w:eastAsia="Calibri" w:hAnsiTheme="minorHAnsi" w:cs="Calibri"/>
          <w:sz w:val="24"/>
          <w:szCs w:val="24"/>
        </w:rPr>
        <w:t>Use every area on campus to  promote student learning</w:t>
      </w:r>
    </w:p>
    <w:p w:rsidR="007B3DD4" w:rsidRPr="00D646BC" w:rsidRDefault="00136838" w:rsidP="007B3DD4">
      <w:pPr>
        <w:rPr>
          <w:rFonts w:asciiTheme="minorHAnsi" w:eastAsia="Calibri" w:hAnsiTheme="minorHAnsi" w:cs="Calibri"/>
          <w:sz w:val="24"/>
          <w:szCs w:val="24"/>
        </w:rPr>
      </w:pPr>
      <w:r w:rsidRPr="00D646BC">
        <w:rPr>
          <w:rFonts w:asciiTheme="minorHAnsi" w:eastAsia="Calibri" w:hAnsiTheme="minorHAnsi" w:cs="Calibri"/>
          <w:b/>
          <w:sz w:val="24"/>
          <w:szCs w:val="24"/>
        </w:rPr>
        <w:t xml:space="preserve">How?  </w:t>
      </w:r>
      <w:r w:rsidRPr="00D646BC">
        <w:rPr>
          <w:rFonts w:asciiTheme="minorHAnsi" w:eastAsia="Calibri" w:hAnsiTheme="minorHAnsi" w:cs="Calibri"/>
          <w:sz w:val="24"/>
          <w:szCs w:val="24"/>
        </w:rPr>
        <w:t>Excellent teaching and critical thinking skills lead to high student success rates. Professional development programs geared to best practices will be offered for full and part-time faculty. Instruction and student support activities will support critical thinking, written and oral communication.</w:t>
      </w:r>
    </w:p>
    <w:p w:rsidR="007B3DD4" w:rsidRPr="00D646BC" w:rsidRDefault="00136838" w:rsidP="007B3DD4">
      <w:pPr>
        <w:rPr>
          <w:rFonts w:asciiTheme="minorHAnsi" w:eastAsia="Calibri" w:hAnsiTheme="minorHAnsi" w:cs="Calibri"/>
          <w:sz w:val="24"/>
          <w:szCs w:val="24"/>
        </w:rPr>
      </w:pPr>
      <w:r w:rsidRPr="00D646BC">
        <w:rPr>
          <w:rFonts w:asciiTheme="minorHAnsi" w:eastAsia="Calibri" w:hAnsiTheme="minorHAnsi" w:cs="Calibri"/>
          <w:sz w:val="24"/>
          <w:szCs w:val="24"/>
        </w:rPr>
        <w:t>Target measures</w:t>
      </w:r>
      <w:r w:rsidR="00796073"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student satisfaction surveys, employee satisfaction surveys, course success, and student learning outcomes assessments</w:t>
      </w:r>
    </w:p>
    <w:p w:rsidR="007B3DD4" w:rsidRPr="00D646BC" w:rsidRDefault="00136838" w:rsidP="007B3DD4">
      <w:pPr>
        <w:spacing w:before="240"/>
        <w:rPr>
          <w:rFonts w:asciiTheme="minorHAnsi" w:eastAsia="Calibri" w:hAnsiTheme="minorHAnsi" w:cs="Calibri"/>
          <w:b/>
          <w:color w:val="auto"/>
          <w:sz w:val="24"/>
          <w:szCs w:val="24"/>
        </w:rPr>
      </w:pPr>
      <w:r w:rsidRPr="00D646BC">
        <w:rPr>
          <w:rFonts w:asciiTheme="minorHAnsi" w:eastAsia="Calibri" w:hAnsiTheme="minorHAnsi" w:cs="Calibri"/>
          <w:b/>
          <w:color w:val="auto"/>
          <w:sz w:val="24"/>
          <w:szCs w:val="24"/>
        </w:rPr>
        <w:t>SD 2: Build Campus Community</w:t>
      </w:r>
    </w:p>
    <w:p w:rsidR="007B3DD4" w:rsidRPr="00D646BC" w:rsidRDefault="00136838" w:rsidP="007B3DD4">
      <w:pPr>
        <w:rPr>
          <w:rFonts w:asciiTheme="minorHAnsi" w:eastAsia="Calibri" w:hAnsiTheme="minorHAnsi" w:cs="Calibri"/>
          <w:sz w:val="24"/>
          <w:szCs w:val="24"/>
        </w:rPr>
      </w:pPr>
      <w:r w:rsidRPr="00D646BC">
        <w:rPr>
          <w:rFonts w:asciiTheme="minorHAnsi" w:eastAsia="Calibri" w:hAnsiTheme="minorHAnsi" w:cs="Calibri"/>
          <w:sz w:val="24"/>
          <w:szCs w:val="24"/>
        </w:rPr>
        <w:t>College structures, processes and groups are inclusive, celebrating diversity and nurturing relationships.</w:t>
      </w:r>
    </w:p>
    <w:p w:rsidR="007B3DD4" w:rsidRPr="00D646BC" w:rsidRDefault="00136838" w:rsidP="00796073">
      <w:pPr>
        <w:ind w:left="720"/>
        <w:rPr>
          <w:rFonts w:asciiTheme="minorHAnsi" w:eastAsia="Calibri" w:hAnsiTheme="minorHAnsi" w:cs="Calibri"/>
          <w:sz w:val="24"/>
          <w:szCs w:val="24"/>
        </w:rPr>
      </w:pPr>
      <w:r w:rsidRPr="00D646BC">
        <w:rPr>
          <w:rFonts w:asciiTheme="minorHAnsi" w:eastAsia="Calibri" w:hAnsiTheme="minorHAnsi" w:cs="Calibri"/>
          <w:sz w:val="24"/>
          <w:szCs w:val="24"/>
        </w:rPr>
        <w:t>2.1   Promote inclusiveness and community.</w:t>
      </w:r>
      <w:r w:rsidRPr="00D646BC">
        <w:rPr>
          <w:rFonts w:asciiTheme="minorHAnsi" w:eastAsia="Calibri" w:hAnsiTheme="minorHAnsi" w:cs="Calibri"/>
          <w:sz w:val="24"/>
          <w:szCs w:val="24"/>
        </w:rPr>
        <w:br/>
        <w:t>2.2   Seek, respect and celebrate diversity.</w:t>
      </w:r>
    </w:p>
    <w:p w:rsidR="007B3DD4" w:rsidRPr="00D646BC" w:rsidRDefault="00136838" w:rsidP="007B3DD4">
      <w:pPr>
        <w:rPr>
          <w:rFonts w:asciiTheme="minorHAnsi" w:eastAsia="Calibri" w:hAnsiTheme="minorHAnsi" w:cs="Calibri"/>
          <w:sz w:val="24"/>
          <w:szCs w:val="24"/>
        </w:rPr>
      </w:pPr>
      <w:r w:rsidRPr="00D646BC">
        <w:rPr>
          <w:rFonts w:asciiTheme="minorHAnsi" w:eastAsia="Calibri" w:hAnsiTheme="minorHAnsi" w:cs="Calibri"/>
          <w:b/>
          <w:sz w:val="24"/>
          <w:szCs w:val="24"/>
        </w:rPr>
        <w:t>How?</w:t>
      </w:r>
      <w:r w:rsidRPr="00D646BC">
        <w:rPr>
          <w:rFonts w:asciiTheme="minorHAnsi" w:eastAsia="Calibri" w:hAnsiTheme="minorHAnsi" w:cs="Calibri"/>
          <w:sz w:val="24"/>
          <w:szCs w:val="24"/>
        </w:rPr>
        <w:t xml:space="preserve">  With the belief that the feeling of inclusiveness increases engagement and life/job satisfaction, Crafton will undertake activities </w:t>
      </w:r>
      <w:r w:rsidR="007B3DD4" w:rsidRPr="00D646BC">
        <w:rPr>
          <w:rFonts w:asciiTheme="minorHAnsi" w:eastAsia="Calibri" w:hAnsiTheme="minorHAnsi" w:cs="Calibri"/>
          <w:sz w:val="24"/>
          <w:szCs w:val="24"/>
        </w:rPr>
        <w:t>to ensure</w:t>
      </w:r>
      <w:r w:rsidRPr="00D646BC">
        <w:rPr>
          <w:rFonts w:asciiTheme="minorHAnsi" w:eastAsia="Calibri" w:hAnsiTheme="minorHAnsi" w:cs="Calibri"/>
          <w:sz w:val="24"/>
          <w:szCs w:val="24"/>
        </w:rPr>
        <w:t xml:space="preserve"> students and staff feel included and important, including campus events (Diversity Day, lectures, professional development activities), Safe Space Allies, hiring practices, etc.</w:t>
      </w:r>
    </w:p>
    <w:p w:rsidR="0032023F" w:rsidRDefault="00136838" w:rsidP="0032023F">
      <w:pPr>
        <w:rPr>
          <w:rFonts w:asciiTheme="minorHAnsi" w:eastAsia="Calibri" w:hAnsiTheme="minorHAnsi" w:cs="Calibri"/>
          <w:sz w:val="24"/>
          <w:szCs w:val="24"/>
        </w:rPr>
      </w:pPr>
      <w:r w:rsidRPr="00D646BC">
        <w:rPr>
          <w:rFonts w:asciiTheme="minorHAnsi" w:eastAsia="Calibri" w:hAnsiTheme="minorHAnsi" w:cs="Calibri"/>
          <w:sz w:val="24"/>
          <w:szCs w:val="24"/>
        </w:rPr>
        <w:t>Target measures include demographic diversity, student satisfaction surveys, and employee satisfaction surveys.</w:t>
      </w:r>
    </w:p>
    <w:p w:rsidR="0032023F" w:rsidRDefault="0032023F" w:rsidP="0032023F">
      <w:pPr>
        <w:rPr>
          <w:rFonts w:asciiTheme="minorHAnsi" w:eastAsia="Calibri" w:hAnsiTheme="minorHAnsi" w:cs="Calibri"/>
          <w:b/>
          <w:color w:val="auto"/>
          <w:sz w:val="24"/>
          <w:szCs w:val="24"/>
        </w:rPr>
      </w:pPr>
    </w:p>
    <w:p w:rsidR="0032023F" w:rsidRDefault="0032023F" w:rsidP="0032023F">
      <w:pPr>
        <w:rPr>
          <w:rFonts w:asciiTheme="minorHAnsi" w:eastAsia="Calibri" w:hAnsiTheme="minorHAnsi" w:cs="Calibri"/>
          <w:b/>
          <w:color w:val="auto"/>
          <w:sz w:val="24"/>
          <w:szCs w:val="24"/>
        </w:rPr>
      </w:pPr>
    </w:p>
    <w:p w:rsidR="0032023F" w:rsidRDefault="0032023F" w:rsidP="0032023F">
      <w:pPr>
        <w:rPr>
          <w:rFonts w:asciiTheme="minorHAnsi" w:eastAsia="Calibri" w:hAnsiTheme="minorHAnsi" w:cs="Calibri"/>
          <w:b/>
          <w:color w:val="auto"/>
          <w:sz w:val="24"/>
          <w:szCs w:val="24"/>
        </w:rPr>
      </w:pPr>
    </w:p>
    <w:p w:rsidR="0032023F" w:rsidRDefault="0032023F" w:rsidP="0032023F">
      <w:pPr>
        <w:rPr>
          <w:rFonts w:asciiTheme="minorHAnsi" w:eastAsia="Calibri" w:hAnsiTheme="minorHAnsi" w:cs="Calibri"/>
          <w:b/>
          <w:color w:val="auto"/>
          <w:sz w:val="24"/>
          <w:szCs w:val="24"/>
        </w:rPr>
      </w:pPr>
    </w:p>
    <w:p w:rsidR="0032023F" w:rsidRDefault="00136838" w:rsidP="0032023F">
      <w:pPr>
        <w:rPr>
          <w:rFonts w:asciiTheme="minorHAnsi" w:eastAsia="Calibri" w:hAnsiTheme="minorHAnsi" w:cs="Calibri"/>
          <w:sz w:val="24"/>
          <w:szCs w:val="24"/>
        </w:rPr>
      </w:pPr>
      <w:r w:rsidRPr="00D646BC">
        <w:rPr>
          <w:rFonts w:asciiTheme="minorHAnsi" w:eastAsia="Calibri" w:hAnsiTheme="minorHAnsi" w:cs="Calibri"/>
          <w:b/>
          <w:color w:val="auto"/>
          <w:sz w:val="24"/>
          <w:szCs w:val="24"/>
        </w:rPr>
        <w:lastRenderedPageBreak/>
        <w:t>SD 3: Develop Teaching and Learning Practices</w:t>
      </w:r>
    </w:p>
    <w:p w:rsidR="007B3DD4" w:rsidRPr="00D646BC" w:rsidRDefault="00136838" w:rsidP="0032023F">
      <w:pPr>
        <w:rPr>
          <w:rFonts w:asciiTheme="minorHAnsi" w:eastAsia="Calibri" w:hAnsiTheme="minorHAnsi" w:cs="Calibri"/>
          <w:sz w:val="24"/>
          <w:szCs w:val="24"/>
        </w:rPr>
      </w:pPr>
      <w:r w:rsidRPr="00D646BC">
        <w:rPr>
          <w:rFonts w:asciiTheme="minorHAnsi" w:eastAsia="Calibri" w:hAnsiTheme="minorHAnsi" w:cs="Calibri"/>
          <w:sz w:val="24"/>
          <w:szCs w:val="24"/>
        </w:rPr>
        <w:t>CHC promotes innovative and effective teaching and learning strategies.</w:t>
      </w:r>
    </w:p>
    <w:p w:rsidR="00AD1889" w:rsidRPr="00D646BC" w:rsidRDefault="00136838" w:rsidP="00796073">
      <w:pPr>
        <w:keepNext/>
        <w:keepLines/>
        <w:spacing w:before="120" w:after="0" w:line="276" w:lineRule="auto"/>
        <w:ind w:left="720"/>
        <w:rPr>
          <w:rFonts w:asciiTheme="minorHAnsi" w:hAnsiTheme="minorHAnsi"/>
          <w:sz w:val="24"/>
          <w:szCs w:val="24"/>
        </w:rPr>
      </w:pPr>
      <w:r w:rsidRPr="00D646BC">
        <w:rPr>
          <w:rFonts w:asciiTheme="minorHAnsi" w:eastAsia="Calibri" w:hAnsiTheme="minorHAnsi" w:cs="Calibri"/>
          <w:sz w:val="24"/>
          <w:szCs w:val="24"/>
        </w:rPr>
        <w:t>3.1   Develop a culture of mastery in teaching.</w:t>
      </w:r>
      <w:r w:rsidRPr="00D646BC">
        <w:rPr>
          <w:rFonts w:asciiTheme="minorHAnsi" w:eastAsia="Calibri" w:hAnsiTheme="minorHAnsi" w:cs="Calibri"/>
          <w:sz w:val="24"/>
          <w:szCs w:val="24"/>
        </w:rPr>
        <w:br/>
        <w:t>3.2   Teach students to be great learners.</w:t>
      </w:r>
    </w:p>
    <w:p w:rsidR="007B3DD4" w:rsidRPr="00D646BC" w:rsidRDefault="00136838" w:rsidP="007B3DD4">
      <w:pPr>
        <w:keepNext/>
        <w:keepLines/>
        <w:spacing w:before="360" w:after="200" w:line="276" w:lineRule="auto"/>
        <w:rPr>
          <w:rFonts w:asciiTheme="minorHAnsi" w:hAnsiTheme="minorHAnsi"/>
          <w:sz w:val="24"/>
          <w:szCs w:val="24"/>
        </w:rPr>
      </w:pPr>
      <w:r w:rsidRPr="00D646BC">
        <w:rPr>
          <w:rFonts w:asciiTheme="minorHAnsi" w:eastAsia="Calibri" w:hAnsiTheme="minorHAnsi" w:cs="Calibri"/>
          <w:b/>
          <w:sz w:val="24"/>
          <w:szCs w:val="24"/>
        </w:rPr>
        <w:t>How?</w:t>
      </w:r>
      <w:r w:rsidRPr="00D646BC">
        <w:rPr>
          <w:rFonts w:asciiTheme="minorHAnsi" w:eastAsia="Calibri" w:hAnsiTheme="minorHAnsi" w:cs="Calibri"/>
          <w:sz w:val="24"/>
          <w:szCs w:val="24"/>
        </w:rPr>
        <w:t xml:space="preserve">  Excellent teaching and critical thinking skills lead to high student success rates. Professional development programs geared to best practices will be offered for full and part-time faculty. Instruction and student support activities will support critical thinking, written and oral communication.</w:t>
      </w:r>
    </w:p>
    <w:p w:rsidR="00AD1889" w:rsidRPr="00D646BC" w:rsidRDefault="00136838" w:rsidP="00F723F6">
      <w:pPr>
        <w:keepNext/>
        <w:keepLines/>
        <w:spacing w:before="120" w:after="200" w:line="276" w:lineRule="auto"/>
        <w:rPr>
          <w:rFonts w:asciiTheme="minorHAnsi" w:hAnsiTheme="minorHAnsi"/>
          <w:sz w:val="24"/>
          <w:szCs w:val="24"/>
        </w:rPr>
      </w:pPr>
      <w:r w:rsidRPr="00D646BC">
        <w:rPr>
          <w:rFonts w:asciiTheme="minorHAnsi" w:eastAsia="Calibri" w:hAnsiTheme="minorHAnsi" w:cs="Calibri"/>
          <w:sz w:val="24"/>
          <w:szCs w:val="24"/>
        </w:rPr>
        <w:t>Target measures include student satisfaction surveys, employee satisfaction surveys, course success, and student learning outcomes assessments.</w:t>
      </w:r>
    </w:p>
    <w:p w:rsidR="00AD1889" w:rsidRPr="00D646BC" w:rsidRDefault="00136838">
      <w:pPr>
        <w:keepNext/>
        <w:keepLines/>
        <w:spacing w:before="36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4: Expand Access</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is dedicated to increasing the community’s college-going rate and will promote equitable access to higher education.</w:t>
      </w:r>
    </w:p>
    <w:p w:rsidR="00AD1889" w:rsidRPr="00D646BC" w:rsidRDefault="00136838" w:rsidP="00775E5A">
      <w:pPr>
        <w:numPr>
          <w:ilvl w:val="1"/>
          <w:numId w:val="7"/>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Promote a college-going culture in our core service area.</w:t>
      </w:r>
    </w:p>
    <w:p w:rsidR="00AD1889" w:rsidRPr="00D646BC" w:rsidRDefault="00136838" w:rsidP="00775E5A">
      <w:pPr>
        <w:numPr>
          <w:ilvl w:val="1"/>
          <w:numId w:val="7"/>
        </w:numPr>
        <w:spacing w:after="0" w:line="276" w:lineRule="auto"/>
        <w:ind w:hanging="360"/>
        <w:rPr>
          <w:rFonts w:asciiTheme="minorHAnsi" w:eastAsia="Calibri" w:hAnsiTheme="minorHAnsi" w:cs="Calibri"/>
          <w:sz w:val="24"/>
          <w:szCs w:val="24"/>
        </w:rPr>
      </w:pPr>
      <w:r w:rsidRPr="00D646BC">
        <w:rPr>
          <w:rFonts w:asciiTheme="minorHAnsi" w:eastAsia="Calibri" w:hAnsiTheme="minorHAnsi" w:cs="Calibri"/>
          <w:sz w:val="24"/>
          <w:szCs w:val="24"/>
        </w:rPr>
        <w:t>Increase college capacity to serve our core service area.</w:t>
      </w:r>
    </w:p>
    <w:p w:rsidR="00AD1889" w:rsidRPr="00D646BC" w:rsidRDefault="00136838">
      <w:pPr>
        <w:spacing w:before="120" w:after="200" w:line="276" w:lineRule="auto"/>
        <w:rPr>
          <w:rFonts w:asciiTheme="minorHAnsi" w:hAnsiTheme="minorHAnsi"/>
          <w:sz w:val="24"/>
          <w:szCs w:val="24"/>
        </w:rPr>
      </w:pPr>
      <w:r w:rsidRPr="00D646BC">
        <w:rPr>
          <w:rFonts w:asciiTheme="minorHAnsi" w:eastAsia="Calibri" w:hAnsiTheme="minorHAnsi" w:cs="Calibri"/>
          <w:b/>
          <w:sz w:val="24"/>
          <w:szCs w:val="24"/>
        </w:rPr>
        <w:t xml:space="preserve">How?  </w:t>
      </w:r>
      <w:r w:rsidRPr="00D646BC">
        <w:rPr>
          <w:rFonts w:asciiTheme="minorHAnsi" w:eastAsia="Calibri" w:hAnsiTheme="minorHAnsi" w:cs="Calibri"/>
          <w:sz w:val="24"/>
          <w:szCs w:val="24"/>
        </w:rPr>
        <w:t xml:space="preserve">We want to increase the education levels in the Inland Empire by sharing the advantages of a college degree through outreach events, high school relations, </w:t>
      </w:r>
      <w:proofErr w:type="gramStart"/>
      <w:r w:rsidRPr="00D646BC">
        <w:rPr>
          <w:rFonts w:asciiTheme="minorHAnsi" w:eastAsia="Calibri" w:hAnsiTheme="minorHAnsi" w:cs="Calibri"/>
          <w:sz w:val="24"/>
          <w:szCs w:val="24"/>
        </w:rPr>
        <w:t>K</w:t>
      </w:r>
      <w:proofErr w:type="gramEnd"/>
      <w:r w:rsidRPr="00D646BC">
        <w:rPr>
          <w:rFonts w:asciiTheme="minorHAnsi" w:eastAsia="Calibri" w:hAnsiTheme="minorHAnsi" w:cs="Calibri"/>
          <w:sz w:val="24"/>
          <w:szCs w:val="24"/>
        </w:rPr>
        <w:t xml:space="preserve">-12 and community partnerships. Crafton will also focus on expanding access by providing classes and services </w:t>
      </w:r>
      <w:r w:rsidR="00796073" w:rsidRPr="00D646BC">
        <w:rPr>
          <w:rFonts w:asciiTheme="minorHAnsi" w:eastAsia="Calibri" w:hAnsiTheme="minorHAnsi" w:cs="Calibri"/>
          <w:sz w:val="24"/>
          <w:szCs w:val="24"/>
        </w:rPr>
        <w:t xml:space="preserve">in </w:t>
      </w:r>
      <w:r w:rsidRPr="00D646BC">
        <w:rPr>
          <w:rFonts w:asciiTheme="minorHAnsi" w:eastAsia="Calibri" w:hAnsiTheme="minorHAnsi" w:cs="Calibri"/>
          <w:sz w:val="24"/>
          <w:szCs w:val="24"/>
        </w:rPr>
        <w:t>time</w:t>
      </w:r>
      <w:r w:rsidR="00796073" w:rsidRPr="00D646BC">
        <w:rPr>
          <w:rFonts w:asciiTheme="minorHAnsi" w:eastAsia="Calibri" w:hAnsiTheme="minorHAnsi" w:cs="Calibri"/>
          <w:sz w:val="24"/>
          <w:szCs w:val="24"/>
        </w:rPr>
        <w:t>s</w:t>
      </w:r>
      <w:r w:rsidRPr="00D646BC">
        <w:rPr>
          <w:rFonts w:asciiTheme="minorHAnsi" w:eastAsia="Calibri" w:hAnsiTheme="minorHAnsi" w:cs="Calibri"/>
          <w:sz w:val="24"/>
          <w:szCs w:val="24"/>
        </w:rPr>
        <w:t xml:space="preserve"> and way</w:t>
      </w:r>
      <w:r w:rsidR="00796073" w:rsidRPr="00D646BC">
        <w:rPr>
          <w:rFonts w:asciiTheme="minorHAnsi" w:eastAsia="Calibri" w:hAnsiTheme="minorHAnsi" w:cs="Calibri"/>
          <w:sz w:val="24"/>
          <w:szCs w:val="24"/>
        </w:rPr>
        <w:t>s</w:t>
      </w:r>
      <w:r w:rsidRPr="00D646BC">
        <w:rPr>
          <w:rFonts w:asciiTheme="minorHAnsi" w:eastAsia="Calibri" w:hAnsiTheme="minorHAnsi" w:cs="Calibri"/>
          <w:sz w:val="24"/>
          <w:szCs w:val="24"/>
        </w:rPr>
        <w:t xml:space="preserve"> that are convenient to students (online, evening, weekend, dual enrollment with high schools</w:t>
      </w:r>
      <w:r w:rsidR="00796073" w:rsidRPr="00D646BC">
        <w:rPr>
          <w:rFonts w:asciiTheme="minorHAnsi" w:eastAsia="Calibri" w:hAnsiTheme="minorHAnsi" w:cs="Calibri"/>
          <w:sz w:val="24"/>
          <w:szCs w:val="24"/>
        </w:rPr>
        <w:t>, etc.</w:t>
      </w:r>
      <w:r w:rsidRPr="00D646BC">
        <w:rPr>
          <w:rFonts w:asciiTheme="minorHAnsi" w:eastAsia="Calibri" w:hAnsiTheme="minorHAnsi" w:cs="Calibri"/>
          <w:sz w:val="24"/>
          <w:szCs w:val="24"/>
        </w:rPr>
        <w:t>).</w:t>
      </w:r>
    </w:p>
    <w:p w:rsidR="00AD1889" w:rsidRPr="00D646BC" w:rsidRDefault="00136838">
      <w:pPr>
        <w:spacing w:before="120" w:after="0" w:line="276" w:lineRule="auto"/>
        <w:rPr>
          <w:rFonts w:asciiTheme="minorHAnsi" w:hAnsiTheme="minorHAnsi"/>
          <w:sz w:val="24"/>
          <w:szCs w:val="24"/>
        </w:rPr>
      </w:pPr>
      <w:r w:rsidRPr="00D646BC">
        <w:rPr>
          <w:rFonts w:asciiTheme="minorHAnsi" w:eastAsia="Calibri" w:hAnsiTheme="minorHAnsi" w:cs="Calibri"/>
          <w:sz w:val="24"/>
          <w:szCs w:val="24"/>
        </w:rPr>
        <w:t>Target measures</w:t>
      </w:r>
      <w:r w:rsidR="00796073" w:rsidRPr="00D646BC">
        <w:rPr>
          <w:rFonts w:asciiTheme="minorHAnsi" w:eastAsia="Calibri" w:hAnsiTheme="minorHAnsi" w:cs="Calibri"/>
          <w:sz w:val="24"/>
          <w:szCs w:val="24"/>
        </w:rPr>
        <w:t xml:space="preserve"> include</w:t>
      </w:r>
      <w:r w:rsidRPr="00D646BC">
        <w:rPr>
          <w:rFonts w:asciiTheme="minorHAnsi" w:eastAsia="Calibri" w:hAnsiTheme="minorHAnsi" w:cs="Calibri"/>
          <w:b/>
          <w:sz w:val="24"/>
          <w:szCs w:val="24"/>
        </w:rPr>
        <w:t xml:space="preserve"> </w:t>
      </w:r>
      <w:r w:rsidRPr="00D646BC">
        <w:rPr>
          <w:rFonts w:asciiTheme="minorHAnsi" w:eastAsia="Calibri" w:hAnsiTheme="minorHAnsi" w:cs="Calibri"/>
          <w:sz w:val="24"/>
          <w:szCs w:val="24"/>
        </w:rPr>
        <w:t xml:space="preserve">headcount, FTES, demographic diversity, and the number of students choosing CHC as their college </w:t>
      </w:r>
    </w:p>
    <w:p w:rsidR="00AD1889" w:rsidRPr="00D646BC" w:rsidRDefault="00136838">
      <w:pPr>
        <w:keepNext/>
        <w:keepLines/>
        <w:spacing w:before="36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5: Enhance Value to the Surrounding Community</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is actively engaged with the surrounding community.</w:t>
      </w:r>
    </w:p>
    <w:p w:rsidR="00AD1889" w:rsidRPr="00D646BC" w:rsidRDefault="00136838" w:rsidP="00775E5A">
      <w:pPr>
        <w:numPr>
          <w:ilvl w:val="1"/>
          <w:numId w:val="6"/>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Be recognized as the college of choice in the communities we serve.</w:t>
      </w:r>
    </w:p>
    <w:p w:rsidR="00AD1889" w:rsidRPr="00D646BC" w:rsidRDefault="00136838" w:rsidP="00775E5A">
      <w:pPr>
        <w:numPr>
          <w:ilvl w:val="1"/>
          <w:numId w:val="6"/>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Expand the reputation of CHC as an essential partner and valued asset.</w:t>
      </w:r>
    </w:p>
    <w:p w:rsidR="00AD1889" w:rsidRPr="00D646BC" w:rsidRDefault="00136838" w:rsidP="00775E5A">
      <w:pPr>
        <w:numPr>
          <w:ilvl w:val="1"/>
          <w:numId w:val="6"/>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Distinguish CHC as a respected resource for local employers and the workplace.</w:t>
      </w:r>
    </w:p>
    <w:p w:rsidR="00AD1889" w:rsidRPr="00D646BC" w:rsidRDefault="00136838">
      <w:pPr>
        <w:keepNext/>
        <w:keepLines/>
        <w:spacing w:before="240" w:after="200" w:line="276" w:lineRule="auto"/>
        <w:rPr>
          <w:rFonts w:asciiTheme="minorHAnsi" w:hAnsiTheme="minorHAnsi"/>
          <w:sz w:val="24"/>
          <w:szCs w:val="24"/>
        </w:rPr>
      </w:pPr>
      <w:r w:rsidRPr="00D646BC">
        <w:rPr>
          <w:rFonts w:asciiTheme="minorHAnsi" w:eastAsia="Calibri" w:hAnsiTheme="minorHAnsi" w:cs="Calibri"/>
          <w:b/>
          <w:sz w:val="24"/>
          <w:szCs w:val="24"/>
        </w:rPr>
        <w:lastRenderedPageBreak/>
        <w:t xml:space="preserve">How? </w:t>
      </w:r>
      <w:r w:rsidRPr="00D646BC">
        <w:rPr>
          <w:rFonts w:asciiTheme="minorHAnsi" w:eastAsia="Calibri" w:hAnsiTheme="minorHAnsi" w:cs="Calibri"/>
          <w:sz w:val="24"/>
          <w:szCs w:val="24"/>
        </w:rPr>
        <w:t>Crafton will help promote a culture of educational value throughout the community by highlighting the importance of a higher education in the workforce and beyond. The College will participate in and lead partnerships with area employers and provide valued services to the community. The CHC Foundation will act as ambassadors for the College, promoting education and College resources.</w:t>
      </w:r>
    </w:p>
    <w:p w:rsidR="00AD1889" w:rsidRPr="00D646BC" w:rsidRDefault="00136838">
      <w:pPr>
        <w:keepNext/>
        <w:keepLines/>
        <w:spacing w:before="240" w:after="200" w:line="276" w:lineRule="auto"/>
        <w:rPr>
          <w:rFonts w:asciiTheme="minorHAnsi" w:hAnsiTheme="minorHAnsi"/>
          <w:sz w:val="24"/>
          <w:szCs w:val="24"/>
        </w:rPr>
      </w:pPr>
      <w:r w:rsidRPr="00D646BC">
        <w:rPr>
          <w:rFonts w:asciiTheme="minorHAnsi" w:eastAsia="Calibri" w:hAnsiTheme="minorHAnsi" w:cs="Calibri"/>
          <w:sz w:val="24"/>
          <w:szCs w:val="24"/>
        </w:rPr>
        <w:t>Target measures</w:t>
      </w:r>
      <w:r w:rsidR="00D646BC"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demographic diversity, the number of students choosing CHC as their college, and job placement rates</w:t>
      </w:r>
      <w:r w:rsidR="00F723F6">
        <w:rPr>
          <w:rFonts w:asciiTheme="minorHAnsi" w:eastAsia="Calibri" w:hAnsiTheme="minorHAnsi" w:cs="Calibri"/>
          <w:sz w:val="24"/>
          <w:szCs w:val="24"/>
        </w:rPr>
        <w:t>.</w:t>
      </w:r>
    </w:p>
    <w:p w:rsidR="00AD1889" w:rsidRPr="00D646BC" w:rsidRDefault="00136838">
      <w:pPr>
        <w:keepNext/>
        <w:keepLines/>
        <w:spacing w:before="36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6: Promote Effective Decision Making</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uses decision making processes that are effective, efficient, transparent, and evidence-based.</w:t>
      </w:r>
    </w:p>
    <w:p w:rsidR="00AD1889" w:rsidRPr="00D646BC" w:rsidRDefault="00136838">
      <w:pPr>
        <w:numPr>
          <w:ilvl w:val="1"/>
          <w:numId w:val="1"/>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Value and engage in shared governance.</w:t>
      </w:r>
    </w:p>
    <w:p w:rsidR="00AD1889" w:rsidRPr="00D646BC" w:rsidRDefault="00136838">
      <w:pPr>
        <w:numPr>
          <w:ilvl w:val="1"/>
          <w:numId w:val="1"/>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Promote a culture of evidence-based decision making.</w:t>
      </w:r>
    </w:p>
    <w:p w:rsidR="00AD1889" w:rsidRPr="00D646BC" w:rsidRDefault="00136838">
      <w:pPr>
        <w:numPr>
          <w:ilvl w:val="1"/>
          <w:numId w:val="1"/>
        </w:numPr>
        <w:spacing w:after="0" w:line="276" w:lineRule="auto"/>
        <w:ind w:hanging="360"/>
        <w:contextualSpacing/>
        <w:rPr>
          <w:rFonts w:asciiTheme="minorHAnsi" w:eastAsia="Calibri" w:hAnsiTheme="minorHAnsi" w:cs="Calibri"/>
          <w:sz w:val="24"/>
          <w:szCs w:val="24"/>
        </w:rPr>
      </w:pPr>
      <w:r w:rsidRPr="00D646BC">
        <w:rPr>
          <w:rFonts w:asciiTheme="minorHAnsi" w:eastAsia="Calibri" w:hAnsiTheme="minorHAnsi" w:cs="Calibri"/>
          <w:sz w:val="24"/>
          <w:szCs w:val="24"/>
        </w:rPr>
        <w:t>Implement college-wide integrated planning.</w:t>
      </w:r>
    </w:p>
    <w:p w:rsidR="00AD1889" w:rsidRPr="00D646BC" w:rsidRDefault="00136838">
      <w:pPr>
        <w:keepNext/>
        <w:keepLines/>
        <w:spacing w:before="240" w:after="200" w:line="276" w:lineRule="auto"/>
        <w:rPr>
          <w:rFonts w:asciiTheme="minorHAnsi" w:hAnsiTheme="minorHAnsi"/>
          <w:sz w:val="24"/>
          <w:szCs w:val="24"/>
        </w:rPr>
      </w:pPr>
      <w:r w:rsidRPr="00D646BC">
        <w:rPr>
          <w:rFonts w:asciiTheme="minorHAnsi" w:eastAsia="Calibri" w:hAnsiTheme="minorHAnsi" w:cs="Calibri"/>
          <w:b/>
          <w:sz w:val="24"/>
          <w:szCs w:val="24"/>
        </w:rPr>
        <w:t xml:space="preserve">How?  </w:t>
      </w:r>
      <w:r w:rsidRPr="00D646BC">
        <w:rPr>
          <w:rFonts w:asciiTheme="minorHAnsi" w:eastAsia="Calibri" w:hAnsiTheme="minorHAnsi" w:cs="Calibri"/>
          <w:sz w:val="24"/>
          <w:szCs w:val="24"/>
        </w:rPr>
        <w:t>Crafton relies on data and collegial participation to inform decisions. CHC will continue to encourage participation in committee work at all levels (students, staff, faculty and administrators), and emphasize research and data in college planning.</w:t>
      </w:r>
    </w:p>
    <w:p w:rsidR="00AD1889" w:rsidRPr="00D646BC" w:rsidRDefault="00136838">
      <w:pPr>
        <w:keepNext/>
        <w:keepLines/>
        <w:spacing w:before="240" w:after="0" w:line="276" w:lineRule="auto"/>
        <w:rPr>
          <w:rFonts w:asciiTheme="minorHAnsi" w:hAnsiTheme="minorHAnsi"/>
          <w:sz w:val="24"/>
          <w:szCs w:val="24"/>
        </w:rPr>
      </w:pPr>
      <w:r w:rsidRPr="00D646BC">
        <w:rPr>
          <w:rFonts w:asciiTheme="minorHAnsi" w:eastAsia="Calibri" w:hAnsiTheme="minorHAnsi" w:cs="Calibri"/>
          <w:sz w:val="24"/>
          <w:szCs w:val="24"/>
        </w:rPr>
        <w:t>Target measures</w:t>
      </w:r>
      <w:r w:rsidR="00D646BC"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employee satisfaction surveys and committee evaluations</w:t>
      </w:r>
    </w:p>
    <w:p w:rsidR="00AD1889" w:rsidRPr="00D646BC" w:rsidRDefault="00136838">
      <w:pPr>
        <w:keepNext/>
        <w:keepLines/>
        <w:spacing w:before="36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7: Develop Programs and Services</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is committed to providing excellent and responsive programs and services.</w:t>
      </w:r>
    </w:p>
    <w:p w:rsidR="00AD1889" w:rsidRPr="00D646BC" w:rsidRDefault="00136838">
      <w:pPr>
        <w:spacing w:after="0"/>
        <w:ind w:left="360"/>
        <w:rPr>
          <w:rFonts w:asciiTheme="minorHAnsi" w:hAnsiTheme="minorHAnsi"/>
          <w:sz w:val="24"/>
          <w:szCs w:val="24"/>
        </w:rPr>
      </w:pPr>
      <w:r w:rsidRPr="00D646BC">
        <w:rPr>
          <w:rFonts w:asciiTheme="minorHAnsi" w:eastAsia="Calibri" w:hAnsiTheme="minorHAnsi" w:cs="Calibri"/>
          <w:sz w:val="24"/>
          <w:szCs w:val="24"/>
        </w:rPr>
        <w:t>7.1 Improve and expand services.</w:t>
      </w:r>
    </w:p>
    <w:p w:rsidR="00D646BC" w:rsidRPr="00D646BC" w:rsidRDefault="00136838" w:rsidP="00D646BC">
      <w:pPr>
        <w:ind w:left="360"/>
        <w:rPr>
          <w:rFonts w:asciiTheme="minorHAnsi" w:eastAsia="Calibri" w:hAnsiTheme="minorHAnsi" w:cs="Calibri"/>
          <w:sz w:val="24"/>
          <w:szCs w:val="24"/>
        </w:rPr>
      </w:pPr>
      <w:r w:rsidRPr="00D646BC">
        <w:rPr>
          <w:rFonts w:asciiTheme="minorHAnsi" w:eastAsia="Calibri" w:hAnsiTheme="minorHAnsi" w:cs="Calibri"/>
          <w:sz w:val="24"/>
          <w:szCs w:val="24"/>
        </w:rPr>
        <w:t>7.2 Improve and expand programs.</w:t>
      </w:r>
    </w:p>
    <w:p w:rsidR="00D646BC" w:rsidRPr="00D646BC" w:rsidRDefault="00136838" w:rsidP="00D646BC">
      <w:pPr>
        <w:rPr>
          <w:rFonts w:asciiTheme="minorHAnsi" w:eastAsia="Calibri" w:hAnsiTheme="minorHAnsi" w:cs="Calibri"/>
          <w:sz w:val="24"/>
          <w:szCs w:val="24"/>
        </w:rPr>
      </w:pPr>
      <w:r w:rsidRPr="00D646BC">
        <w:rPr>
          <w:rFonts w:asciiTheme="minorHAnsi" w:eastAsia="Calibri" w:hAnsiTheme="minorHAnsi" w:cs="Calibri"/>
          <w:b/>
          <w:sz w:val="24"/>
          <w:szCs w:val="24"/>
        </w:rPr>
        <w:t xml:space="preserve">How? </w:t>
      </w:r>
      <w:r w:rsidRPr="00D646BC">
        <w:rPr>
          <w:rFonts w:asciiTheme="minorHAnsi" w:eastAsia="Calibri" w:hAnsiTheme="minorHAnsi" w:cs="Calibri"/>
          <w:sz w:val="24"/>
          <w:szCs w:val="24"/>
        </w:rPr>
        <w:t xml:space="preserve">To meet the needs of the workforce and our community, Crafton will provide educational programs that lead to transfer to a four-year institution or a viable career. Crafton will </w:t>
      </w:r>
      <w:r w:rsidR="00D646BC" w:rsidRPr="00D646BC">
        <w:rPr>
          <w:rFonts w:asciiTheme="minorHAnsi" w:eastAsia="Calibri" w:hAnsiTheme="minorHAnsi" w:cs="Calibri"/>
          <w:sz w:val="24"/>
          <w:szCs w:val="24"/>
        </w:rPr>
        <w:t>align</w:t>
      </w:r>
      <w:r w:rsidRPr="00D646BC">
        <w:rPr>
          <w:rFonts w:asciiTheme="minorHAnsi" w:eastAsia="Calibri" w:hAnsiTheme="minorHAnsi" w:cs="Calibri"/>
          <w:sz w:val="24"/>
          <w:szCs w:val="24"/>
        </w:rPr>
        <w:t xml:space="preserve"> program offerings </w:t>
      </w:r>
      <w:r w:rsidR="00D646BC" w:rsidRPr="00D646BC">
        <w:rPr>
          <w:rFonts w:asciiTheme="minorHAnsi" w:eastAsia="Calibri" w:hAnsiTheme="minorHAnsi" w:cs="Calibri"/>
          <w:sz w:val="24"/>
          <w:szCs w:val="24"/>
        </w:rPr>
        <w:t>with community needs</w:t>
      </w:r>
      <w:r w:rsidRPr="00D646BC">
        <w:rPr>
          <w:rFonts w:asciiTheme="minorHAnsi" w:eastAsia="Calibri" w:hAnsiTheme="minorHAnsi" w:cs="Calibri"/>
          <w:sz w:val="24"/>
          <w:szCs w:val="24"/>
        </w:rPr>
        <w:t xml:space="preserve"> and provide the appropriate services to our diverse student body.</w:t>
      </w:r>
    </w:p>
    <w:p w:rsidR="00AD1889" w:rsidRPr="00D646BC" w:rsidRDefault="00136838" w:rsidP="00D646BC">
      <w:pPr>
        <w:rPr>
          <w:rFonts w:asciiTheme="minorHAnsi" w:hAnsiTheme="minorHAnsi"/>
          <w:sz w:val="24"/>
          <w:szCs w:val="24"/>
        </w:rPr>
      </w:pPr>
      <w:r w:rsidRPr="00D646BC">
        <w:rPr>
          <w:rFonts w:asciiTheme="minorHAnsi" w:eastAsia="Calibri" w:hAnsiTheme="minorHAnsi" w:cs="Calibri"/>
          <w:sz w:val="24"/>
          <w:szCs w:val="24"/>
        </w:rPr>
        <w:t>Target measures</w:t>
      </w:r>
      <w:r w:rsidR="00D646BC"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headcount, FTES, number of degrees and certificates awarded, student satisfaction surveys, and the number of employees</w:t>
      </w:r>
    </w:p>
    <w:p w:rsidR="00AD1889" w:rsidRPr="00D646BC" w:rsidRDefault="00136838">
      <w:pPr>
        <w:keepNext/>
        <w:keepLines/>
        <w:spacing w:before="36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8: Support Employee Growth</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is committed to developing the full potential of every employee.</w:t>
      </w:r>
    </w:p>
    <w:p w:rsidR="00AD1889" w:rsidRPr="00D646BC" w:rsidRDefault="00136838">
      <w:pPr>
        <w:ind w:left="720" w:hanging="360"/>
        <w:rPr>
          <w:rFonts w:asciiTheme="minorHAnsi" w:hAnsiTheme="minorHAnsi"/>
          <w:sz w:val="24"/>
          <w:szCs w:val="24"/>
        </w:rPr>
      </w:pPr>
      <w:r w:rsidRPr="00D646BC">
        <w:rPr>
          <w:rFonts w:asciiTheme="minorHAnsi" w:eastAsia="Calibri" w:hAnsiTheme="minorHAnsi" w:cs="Calibri"/>
          <w:sz w:val="24"/>
          <w:szCs w:val="24"/>
        </w:rPr>
        <w:t>8.1 Become an organization that embraces a culture of continuous learning.</w:t>
      </w:r>
    </w:p>
    <w:p w:rsidR="00AD1889" w:rsidRPr="00D646BC" w:rsidRDefault="00136838">
      <w:pPr>
        <w:spacing w:before="120" w:line="276" w:lineRule="auto"/>
        <w:rPr>
          <w:rFonts w:asciiTheme="minorHAnsi" w:hAnsiTheme="minorHAnsi"/>
          <w:sz w:val="24"/>
          <w:szCs w:val="24"/>
        </w:rPr>
      </w:pPr>
      <w:r w:rsidRPr="00D646BC">
        <w:rPr>
          <w:rFonts w:asciiTheme="minorHAnsi" w:eastAsia="Calibri" w:hAnsiTheme="minorHAnsi" w:cs="Calibri"/>
          <w:b/>
          <w:sz w:val="24"/>
          <w:szCs w:val="24"/>
        </w:rPr>
        <w:lastRenderedPageBreak/>
        <w:t xml:space="preserve">How? </w:t>
      </w:r>
      <w:r w:rsidRPr="00D646BC">
        <w:rPr>
          <w:rFonts w:asciiTheme="minorHAnsi" w:eastAsia="Calibri" w:hAnsiTheme="minorHAnsi" w:cs="Calibri"/>
          <w:sz w:val="24"/>
          <w:szCs w:val="24"/>
        </w:rPr>
        <w:t>Crafton wants the best employees—people who want to grow professionally and who are happy working here. Steps to achieve that will include professional development activities, mentoring, and developing hiring and evaluation practices that support employee growth.</w:t>
      </w:r>
    </w:p>
    <w:p w:rsidR="00AD1889" w:rsidRPr="00D646BC" w:rsidRDefault="00136838">
      <w:pPr>
        <w:spacing w:before="120" w:line="276" w:lineRule="auto"/>
        <w:rPr>
          <w:rFonts w:asciiTheme="minorHAnsi" w:hAnsiTheme="minorHAnsi"/>
          <w:sz w:val="24"/>
          <w:szCs w:val="24"/>
        </w:rPr>
      </w:pPr>
      <w:r w:rsidRPr="00D646BC">
        <w:rPr>
          <w:rFonts w:asciiTheme="minorHAnsi" w:eastAsia="Calibri" w:hAnsiTheme="minorHAnsi" w:cs="Calibri"/>
          <w:sz w:val="24"/>
          <w:szCs w:val="24"/>
        </w:rPr>
        <w:t>Target measures</w:t>
      </w:r>
      <w:r w:rsidR="00D646BC"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employee satisfaction surveys and committee evaluations</w:t>
      </w:r>
      <w:r w:rsidR="00D646BC" w:rsidRPr="00D646BC">
        <w:rPr>
          <w:rFonts w:asciiTheme="minorHAnsi" w:eastAsia="Calibri" w:hAnsiTheme="minorHAnsi" w:cs="Calibri"/>
          <w:sz w:val="24"/>
          <w:szCs w:val="24"/>
        </w:rPr>
        <w:t>.</w:t>
      </w:r>
    </w:p>
    <w:p w:rsidR="00AD1889" w:rsidRPr="00D646BC" w:rsidRDefault="00136838">
      <w:pPr>
        <w:keepNext/>
        <w:keepLines/>
        <w:spacing w:before="200" w:after="0" w:line="276" w:lineRule="auto"/>
        <w:rPr>
          <w:rFonts w:asciiTheme="minorHAnsi" w:hAnsiTheme="minorHAnsi"/>
          <w:color w:val="auto"/>
          <w:sz w:val="24"/>
          <w:szCs w:val="24"/>
        </w:rPr>
      </w:pPr>
      <w:r w:rsidRPr="00D646BC">
        <w:rPr>
          <w:rFonts w:asciiTheme="minorHAnsi" w:eastAsia="Calibri" w:hAnsiTheme="minorHAnsi" w:cs="Calibri"/>
          <w:b/>
          <w:color w:val="auto"/>
          <w:sz w:val="24"/>
          <w:szCs w:val="24"/>
        </w:rPr>
        <w:t>SD 9: Optimize Resources</w:t>
      </w:r>
    </w:p>
    <w:p w:rsidR="00AD1889" w:rsidRPr="00D646BC" w:rsidRDefault="00136838">
      <w:pPr>
        <w:keepNext/>
        <w:keepLines/>
        <w:spacing w:before="120" w:after="0" w:line="276" w:lineRule="auto"/>
        <w:rPr>
          <w:rFonts w:asciiTheme="minorHAnsi" w:hAnsiTheme="minorHAnsi"/>
          <w:sz w:val="24"/>
          <w:szCs w:val="24"/>
        </w:rPr>
      </w:pPr>
      <w:r w:rsidRPr="00D646BC">
        <w:rPr>
          <w:rFonts w:asciiTheme="minorHAnsi" w:eastAsia="Calibri" w:hAnsiTheme="minorHAnsi" w:cs="Calibri"/>
          <w:sz w:val="24"/>
          <w:szCs w:val="24"/>
        </w:rPr>
        <w:t>CHC develops, sustains, and strengthens its resources.</w:t>
      </w:r>
    </w:p>
    <w:p w:rsidR="00AD1889" w:rsidRPr="00D646BC" w:rsidRDefault="00136838">
      <w:pPr>
        <w:spacing w:after="0"/>
        <w:ind w:left="360"/>
        <w:rPr>
          <w:rFonts w:asciiTheme="minorHAnsi" w:hAnsiTheme="minorHAnsi"/>
          <w:sz w:val="24"/>
          <w:szCs w:val="24"/>
        </w:rPr>
      </w:pPr>
      <w:r w:rsidRPr="00D646BC">
        <w:rPr>
          <w:rFonts w:asciiTheme="minorHAnsi" w:eastAsia="Calibri" w:hAnsiTheme="minorHAnsi" w:cs="Calibri"/>
          <w:sz w:val="24"/>
          <w:szCs w:val="24"/>
        </w:rPr>
        <w:t>9.1 Plan for growth and align resources.</w:t>
      </w:r>
    </w:p>
    <w:p w:rsidR="00AD1889" w:rsidRPr="00D646BC" w:rsidRDefault="00136838" w:rsidP="00D646BC">
      <w:pPr>
        <w:spacing w:after="0"/>
        <w:ind w:left="360"/>
        <w:rPr>
          <w:rFonts w:asciiTheme="minorHAnsi" w:eastAsia="Calibri" w:hAnsiTheme="minorHAnsi" w:cs="Calibri"/>
          <w:sz w:val="24"/>
          <w:szCs w:val="24"/>
        </w:rPr>
      </w:pPr>
      <w:r w:rsidRPr="00D646BC">
        <w:rPr>
          <w:rFonts w:asciiTheme="minorHAnsi" w:eastAsia="Calibri" w:hAnsiTheme="minorHAnsi" w:cs="Calibri"/>
          <w:sz w:val="24"/>
          <w:szCs w:val="24"/>
        </w:rPr>
        <w:t>9.2 Value the Crafton Hills College environment.</w:t>
      </w:r>
    </w:p>
    <w:p w:rsidR="00D646BC" w:rsidRPr="00D646BC" w:rsidRDefault="00D646BC">
      <w:pPr>
        <w:ind w:left="360"/>
        <w:rPr>
          <w:rFonts w:asciiTheme="minorHAnsi" w:hAnsiTheme="minorHAnsi"/>
          <w:sz w:val="24"/>
          <w:szCs w:val="24"/>
        </w:rPr>
      </w:pPr>
      <w:r w:rsidRPr="00F723F6">
        <w:rPr>
          <w:rFonts w:asciiTheme="minorHAnsi" w:eastAsia="Calibri" w:hAnsiTheme="minorHAnsi" w:cs="Calibri"/>
          <w:sz w:val="24"/>
          <w:szCs w:val="24"/>
          <w:highlight w:val="yellow"/>
        </w:rPr>
        <w:t>9.3 Support the District’s implementation of automated processes.</w:t>
      </w:r>
      <w:r w:rsidR="00F723F6">
        <w:rPr>
          <w:rFonts w:asciiTheme="minorHAnsi" w:eastAsia="Calibri" w:hAnsiTheme="minorHAnsi" w:cs="Calibri"/>
          <w:sz w:val="24"/>
          <w:szCs w:val="24"/>
        </w:rPr>
        <w:t xml:space="preserve"> (NEW)</w:t>
      </w:r>
    </w:p>
    <w:p w:rsidR="00AD1889" w:rsidRPr="00D646BC" w:rsidRDefault="00136838">
      <w:pPr>
        <w:keepNext/>
        <w:keepLines/>
        <w:spacing w:before="240" w:after="0" w:line="276" w:lineRule="auto"/>
        <w:rPr>
          <w:rFonts w:asciiTheme="minorHAnsi" w:hAnsiTheme="minorHAnsi"/>
          <w:sz w:val="24"/>
          <w:szCs w:val="24"/>
        </w:rPr>
      </w:pPr>
      <w:r w:rsidRPr="00D646BC">
        <w:rPr>
          <w:rFonts w:asciiTheme="minorHAnsi" w:eastAsia="Calibri" w:hAnsiTheme="minorHAnsi" w:cs="Calibri"/>
          <w:b/>
          <w:sz w:val="24"/>
          <w:szCs w:val="24"/>
        </w:rPr>
        <w:t xml:space="preserve">How? </w:t>
      </w:r>
      <w:r w:rsidRPr="00D646BC">
        <w:rPr>
          <w:rFonts w:asciiTheme="minorHAnsi" w:eastAsia="Calibri" w:hAnsiTheme="minorHAnsi" w:cs="Calibri"/>
          <w:sz w:val="24"/>
          <w:szCs w:val="24"/>
        </w:rPr>
        <w:t>Working with the District Office and our sister college, San Bernardino Valley College, Crafton is aiming to become a Comprehensive Community College with 5,000+ FTES. To achieve and sustain that role, Crafton will continue to refine the Resource Allocation Model to meet its budgetary needs, continue to seek special-purpose funding for priority populations and needs, and ensure the College grows without minimizing our beautiful campus.</w:t>
      </w:r>
    </w:p>
    <w:p w:rsidR="00AD1889" w:rsidRPr="00D646BC" w:rsidRDefault="00136838">
      <w:pPr>
        <w:keepNext/>
        <w:keepLines/>
        <w:spacing w:before="240" w:after="0" w:line="276" w:lineRule="auto"/>
        <w:rPr>
          <w:rFonts w:asciiTheme="minorHAnsi" w:hAnsiTheme="minorHAnsi"/>
          <w:sz w:val="24"/>
          <w:szCs w:val="24"/>
        </w:rPr>
      </w:pPr>
      <w:r w:rsidRPr="00D646BC">
        <w:rPr>
          <w:rFonts w:asciiTheme="minorHAnsi" w:eastAsia="Calibri" w:hAnsiTheme="minorHAnsi" w:cs="Calibri"/>
          <w:sz w:val="24"/>
          <w:szCs w:val="24"/>
        </w:rPr>
        <w:t>Target measures</w:t>
      </w:r>
      <w:r w:rsidR="00D646BC" w:rsidRPr="00D646BC">
        <w:rPr>
          <w:rFonts w:asciiTheme="minorHAnsi" w:eastAsia="Calibri" w:hAnsiTheme="minorHAnsi" w:cs="Calibri"/>
          <w:sz w:val="24"/>
          <w:szCs w:val="24"/>
        </w:rPr>
        <w:t xml:space="preserve"> include</w:t>
      </w:r>
      <w:r w:rsidRPr="00D646BC">
        <w:rPr>
          <w:rFonts w:asciiTheme="minorHAnsi" w:eastAsia="Calibri" w:hAnsiTheme="minorHAnsi" w:cs="Calibri"/>
          <w:sz w:val="24"/>
          <w:szCs w:val="24"/>
        </w:rPr>
        <w:t xml:space="preserve"> employee satisfaction surveys, student satisfaction surveys, and class fill rates</w:t>
      </w:r>
      <w:r w:rsidR="00D646BC" w:rsidRPr="00D646BC">
        <w:rPr>
          <w:rFonts w:asciiTheme="minorHAnsi" w:eastAsia="Calibri" w:hAnsiTheme="minorHAnsi" w:cs="Calibri"/>
          <w:sz w:val="24"/>
          <w:szCs w:val="24"/>
        </w:rPr>
        <w:t>.</w:t>
      </w:r>
    </w:p>
    <w:p w:rsidR="00AD1889" w:rsidRDefault="00AD1889">
      <w:pPr>
        <w:keepNext/>
        <w:keepLines/>
        <w:spacing w:before="240" w:after="0" w:line="276" w:lineRule="auto"/>
      </w:pPr>
    </w:p>
    <w:p w:rsidR="00AD1889" w:rsidRDefault="00AD1889"/>
    <w:p w:rsidR="00AD1889" w:rsidRDefault="00136838">
      <w:r>
        <w:br w:type="page"/>
      </w:r>
    </w:p>
    <w:p w:rsidR="00AD1889" w:rsidRDefault="00136838" w:rsidP="00A816B4">
      <w:pPr>
        <w:pStyle w:val="Heading1"/>
        <w:numPr>
          <w:ilvl w:val="0"/>
          <w:numId w:val="2"/>
        </w:numPr>
      </w:pPr>
      <w:bookmarkStart w:id="3" w:name="h.3znysh7" w:colFirst="0" w:colLast="0"/>
      <w:bookmarkEnd w:id="3"/>
      <w:r>
        <w:lastRenderedPageBreak/>
        <w:t>Planning Framework</w:t>
      </w:r>
    </w:p>
    <w:p w:rsidR="00AD1889" w:rsidRPr="00F723F6" w:rsidRDefault="00136838">
      <w:pPr>
        <w:rPr>
          <w:rFonts w:asciiTheme="minorHAnsi" w:hAnsiTheme="minorHAnsi"/>
          <w:i/>
          <w:color w:val="0070C0"/>
          <w:sz w:val="24"/>
        </w:rPr>
      </w:pPr>
      <w:r w:rsidRPr="00F723F6">
        <w:rPr>
          <w:rFonts w:asciiTheme="minorHAnsi" w:hAnsiTheme="minorHAnsi"/>
          <w:i/>
          <w:color w:val="0070C0"/>
          <w:sz w:val="24"/>
        </w:rPr>
        <w:t>This section provides a succinct description of the purpose of the Education Master Plan; the college’s mission, vision, and values; integration with other plans; an overview of the planning process; and assumptions made.</w:t>
      </w:r>
    </w:p>
    <w:p w:rsidR="00AD1889" w:rsidRPr="00F723F6" w:rsidRDefault="00136838">
      <w:pPr>
        <w:rPr>
          <w:rFonts w:asciiTheme="minorHAnsi" w:hAnsiTheme="minorHAnsi"/>
          <w:sz w:val="24"/>
        </w:rPr>
      </w:pPr>
      <w:r w:rsidRPr="00F723F6">
        <w:rPr>
          <w:rFonts w:asciiTheme="minorHAnsi" w:eastAsia="Arial" w:hAnsiTheme="minorHAnsi" w:cs="Arial"/>
          <w:b/>
          <w:sz w:val="24"/>
        </w:rPr>
        <w:t>Mission</w:t>
      </w:r>
    </w:p>
    <w:p w:rsidR="00AD1889" w:rsidRPr="00F723F6" w:rsidRDefault="00136838">
      <w:pPr>
        <w:rPr>
          <w:rFonts w:asciiTheme="minorHAnsi" w:hAnsiTheme="minorHAnsi"/>
          <w:sz w:val="24"/>
        </w:rPr>
      </w:pPr>
      <w:r w:rsidRPr="00F723F6">
        <w:rPr>
          <w:rFonts w:asciiTheme="minorHAnsi" w:eastAsia="Arial" w:hAnsiTheme="minorHAnsi" w:cs="Arial"/>
          <w:sz w:val="24"/>
        </w:rPr>
        <w:t>The mission of Crafton Hills College is to advance the educational, career, and personal success of our diverse campus community through engagement and learning.</w:t>
      </w:r>
    </w:p>
    <w:p w:rsidR="00AD1889" w:rsidRPr="00F723F6" w:rsidRDefault="00AD1889">
      <w:pPr>
        <w:rPr>
          <w:rFonts w:asciiTheme="minorHAnsi" w:hAnsiTheme="minorHAnsi"/>
          <w:sz w:val="24"/>
        </w:rPr>
      </w:pPr>
    </w:p>
    <w:p w:rsidR="00AD1889" w:rsidRPr="00F723F6" w:rsidRDefault="00136838">
      <w:pPr>
        <w:rPr>
          <w:rFonts w:asciiTheme="minorHAnsi" w:hAnsiTheme="minorHAnsi"/>
          <w:sz w:val="24"/>
        </w:rPr>
      </w:pPr>
      <w:r w:rsidRPr="00F723F6">
        <w:rPr>
          <w:rFonts w:asciiTheme="minorHAnsi" w:eastAsia="Arial" w:hAnsiTheme="minorHAnsi" w:cs="Arial"/>
          <w:b/>
          <w:sz w:val="24"/>
        </w:rPr>
        <w:t>Vision</w:t>
      </w:r>
    </w:p>
    <w:p w:rsidR="00AD1889" w:rsidRPr="00F723F6" w:rsidRDefault="00136838">
      <w:pPr>
        <w:rPr>
          <w:rFonts w:asciiTheme="minorHAnsi" w:hAnsiTheme="minorHAnsi"/>
          <w:sz w:val="24"/>
        </w:rPr>
      </w:pPr>
      <w:r w:rsidRPr="00F723F6">
        <w:rPr>
          <w:rFonts w:asciiTheme="minorHAnsi" w:eastAsia="Arial" w:hAnsiTheme="minorHAnsi" w:cs="Arial"/>
          <w:sz w:val="24"/>
        </w:rPr>
        <w:t>Crafton Hills College will be the college of choice for students who seek deep learning, personal growth, a supportive community and a beautiful collegiate setting.</w:t>
      </w:r>
    </w:p>
    <w:p w:rsidR="00AD1889" w:rsidRPr="00F723F6" w:rsidRDefault="00AD1889">
      <w:pPr>
        <w:rPr>
          <w:rFonts w:asciiTheme="minorHAnsi" w:hAnsiTheme="minorHAnsi"/>
          <w:sz w:val="24"/>
        </w:rPr>
      </w:pPr>
    </w:p>
    <w:p w:rsidR="00AD1889" w:rsidRPr="00F723F6" w:rsidRDefault="00136838">
      <w:pPr>
        <w:rPr>
          <w:rFonts w:asciiTheme="minorHAnsi" w:hAnsiTheme="minorHAnsi"/>
          <w:sz w:val="24"/>
        </w:rPr>
      </w:pPr>
      <w:r w:rsidRPr="00F723F6">
        <w:rPr>
          <w:rFonts w:asciiTheme="minorHAnsi" w:eastAsia="Arial" w:hAnsiTheme="minorHAnsi" w:cs="Arial"/>
          <w:b/>
          <w:sz w:val="24"/>
        </w:rPr>
        <w:t>Values</w:t>
      </w:r>
    </w:p>
    <w:p w:rsidR="00AD1889" w:rsidRPr="00F723F6" w:rsidRDefault="00136838">
      <w:pPr>
        <w:rPr>
          <w:rFonts w:asciiTheme="minorHAnsi" w:hAnsiTheme="minorHAnsi"/>
          <w:sz w:val="24"/>
        </w:rPr>
      </w:pPr>
      <w:r w:rsidRPr="00F723F6">
        <w:rPr>
          <w:rFonts w:asciiTheme="minorHAnsi" w:eastAsia="Arial" w:hAnsiTheme="minorHAnsi" w:cs="Arial"/>
          <w:sz w:val="24"/>
        </w:rPr>
        <w:t>Crafton Hills College values academic excellence, inclusiveness, creativity, and the advancement of each individual.</w:t>
      </w:r>
    </w:p>
    <w:p w:rsidR="00F723F6" w:rsidRDefault="00F723F6" w:rsidP="00F723F6">
      <w:pPr>
        <w:rPr>
          <w:rFonts w:asciiTheme="minorHAnsi" w:eastAsia="Arial" w:hAnsiTheme="minorHAnsi" w:cs="Arial"/>
          <w:b/>
          <w:sz w:val="24"/>
        </w:rPr>
      </w:pPr>
    </w:p>
    <w:p w:rsidR="00F723F6" w:rsidRPr="00F723F6" w:rsidRDefault="00F723F6" w:rsidP="00F723F6">
      <w:pPr>
        <w:rPr>
          <w:rFonts w:asciiTheme="minorHAnsi" w:hAnsiTheme="minorHAnsi"/>
          <w:sz w:val="24"/>
        </w:rPr>
      </w:pPr>
      <w:r w:rsidRPr="00F723F6">
        <w:rPr>
          <w:rFonts w:asciiTheme="minorHAnsi" w:eastAsia="Arial" w:hAnsiTheme="minorHAnsi" w:cs="Arial"/>
          <w:b/>
          <w:sz w:val="24"/>
        </w:rPr>
        <w:t>Engage-Learn-Advance</w:t>
      </w:r>
    </w:p>
    <w:p w:rsidR="00F723F6" w:rsidRDefault="00F723F6" w:rsidP="00F723F6">
      <w:pPr>
        <w:spacing w:after="0"/>
        <w:rPr>
          <w:rFonts w:asciiTheme="minorHAnsi" w:eastAsia="Times New Roman" w:hAnsiTheme="minorHAnsi" w:cs="Times New Roman"/>
          <w:sz w:val="24"/>
        </w:rPr>
      </w:pPr>
      <w:r w:rsidRPr="00F723F6">
        <w:rPr>
          <w:rFonts w:asciiTheme="minorHAnsi" w:eastAsia="Times New Roman" w:hAnsiTheme="minorHAnsi" w:cs="Times New Roman"/>
          <w:sz w:val="24"/>
        </w:rPr>
        <w:t xml:space="preserve">At Crafton Hills College we encourage students and campus personnel to </w:t>
      </w:r>
      <w:r w:rsidRPr="00F723F6">
        <w:rPr>
          <w:rFonts w:asciiTheme="minorHAnsi" w:eastAsia="Times New Roman" w:hAnsiTheme="minorHAnsi" w:cs="Times New Roman"/>
          <w:i/>
          <w:sz w:val="24"/>
        </w:rPr>
        <w:t>Engage, Learn and Advance</w:t>
      </w:r>
      <w:r w:rsidRPr="00F723F6">
        <w:rPr>
          <w:rFonts w:asciiTheme="minorHAnsi" w:eastAsia="Times New Roman" w:hAnsiTheme="minorHAnsi" w:cs="Times New Roman"/>
          <w:sz w:val="24"/>
        </w:rPr>
        <w:t>. These are three essential areas of emphasis for success</w:t>
      </w:r>
      <w:r>
        <w:rPr>
          <w:rFonts w:asciiTheme="minorHAnsi" w:eastAsia="Times New Roman" w:hAnsiTheme="minorHAnsi" w:cs="Times New Roman"/>
          <w:sz w:val="24"/>
        </w:rPr>
        <w:t xml:space="preserve"> and through this common nomenclature </w:t>
      </w:r>
      <w:r w:rsidRPr="00F723F6">
        <w:rPr>
          <w:rFonts w:asciiTheme="minorHAnsi" w:eastAsia="Times New Roman" w:hAnsiTheme="minorHAnsi" w:cs="Times New Roman"/>
          <w:sz w:val="24"/>
        </w:rPr>
        <w:t>the college constantly reminds students and employees of the important role we all play in helping each other learn.</w:t>
      </w:r>
    </w:p>
    <w:p w:rsidR="00F723F6" w:rsidRDefault="00F723F6" w:rsidP="00F723F6">
      <w:pPr>
        <w:spacing w:after="0"/>
        <w:rPr>
          <w:rFonts w:asciiTheme="minorHAnsi" w:eastAsia="Times New Roman" w:hAnsiTheme="minorHAnsi" w:cs="Times New Roman"/>
          <w:sz w:val="24"/>
        </w:rPr>
      </w:pPr>
    </w:p>
    <w:p w:rsidR="00F723F6" w:rsidRDefault="00F723F6">
      <w:pPr>
        <w:rPr>
          <w:rFonts w:asciiTheme="minorHAnsi" w:hAnsiTheme="minorHAnsi"/>
          <w:sz w:val="24"/>
        </w:rPr>
      </w:pPr>
      <w:r>
        <w:rPr>
          <w:rFonts w:asciiTheme="minorHAnsi" w:hAnsiTheme="minorHAnsi"/>
          <w:sz w:val="24"/>
        </w:rPr>
        <w:br w:type="page"/>
      </w:r>
    </w:p>
    <w:p w:rsidR="00AD1889" w:rsidRPr="00F723F6" w:rsidRDefault="00A85FF0">
      <w:pPr>
        <w:rPr>
          <w:rFonts w:asciiTheme="minorHAnsi" w:hAnsiTheme="minorHAnsi"/>
          <w:sz w:val="24"/>
        </w:rPr>
      </w:pPr>
      <w:r>
        <w:rPr>
          <w:rFonts w:asciiTheme="minorHAnsi" w:eastAsia="Arial" w:hAnsiTheme="minorHAnsi" w:cs="Arial"/>
          <w:b/>
          <w:sz w:val="24"/>
        </w:rPr>
        <w:lastRenderedPageBreak/>
        <w:t>Intent of the Educational Master Plan</w:t>
      </w:r>
    </w:p>
    <w:p w:rsidR="00F723F6" w:rsidRDefault="00136838" w:rsidP="00FA52F3">
      <w:pPr>
        <w:spacing w:after="0"/>
        <w:rPr>
          <w:rFonts w:asciiTheme="minorHAnsi" w:eastAsia="Arial" w:hAnsiTheme="minorHAnsi" w:cs="Arial"/>
          <w:color w:val="auto"/>
          <w:sz w:val="24"/>
        </w:rPr>
      </w:pPr>
      <w:r w:rsidRPr="00F723F6">
        <w:rPr>
          <w:rFonts w:asciiTheme="minorHAnsi" w:eastAsia="Arial" w:hAnsiTheme="minorHAnsi" w:cs="Arial"/>
          <w:color w:val="auto"/>
          <w:sz w:val="24"/>
        </w:rPr>
        <w:t xml:space="preserve">The Crafton Hills College (CHC) Educational Master Plan (EMP) is a comprehensive document that establishes a clear direction for the College by envisioning the future of academics and student support under changing internal and external conditions. Quantitative and qualitative data indicators are analyzed to guide the planning process. Additionally, the EMP is directed by core values and goals within other College and District-wide plans, such as the San Bernardino Community College District (SBCCD) Strategic Plan. </w:t>
      </w:r>
      <w:r w:rsidRPr="00F723F6">
        <w:rPr>
          <w:rFonts w:asciiTheme="minorHAnsi" w:eastAsia="Arial" w:hAnsiTheme="minorHAnsi" w:cs="Arial"/>
          <w:color w:val="auto"/>
          <w:sz w:val="24"/>
        </w:rPr>
        <w:br/>
      </w:r>
      <w:r w:rsidRPr="00F723F6">
        <w:rPr>
          <w:rFonts w:asciiTheme="minorHAnsi" w:eastAsia="Arial" w:hAnsiTheme="minorHAnsi" w:cs="Arial"/>
          <w:color w:val="auto"/>
          <w:sz w:val="24"/>
        </w:rPr>
        <w:br/>
        <w:t xml:space="preserve">While the Educational Master Plan is intended to provide a direction for CHC over the next five years (2015-20), it is not a rigid script with little deviation. This document helps to determine the institution’s current level of effectiveness and produces key goals to evoke action and dialogue as the College embraces the future. An Educational Master Plan is a living document that should be reviewed and updated regularly. Thus, this document is an evolving description of the College’s needs and, although past performance data can greatly inform future growth, emerging regional issues, as well as unforeseen events, can alter a community’s path. </w:t>
      </w:r>
      <w:r w:rsidRPr="00F723F6">
        <w:rPr>
          <w:rFonts w:asciiTheme="minorHAnsi" w:eastAsia="Arial" w:hAnsiTheme="minorHAnsi" w:cs="Arial"/>
          <w:color w:val="auto"/>
          <w:sz w:val="24"/>
        </w:rPr>
        <w:br/>
      </w:r>
      <w:r w:rsidRPr="00F723F6">
        <w:rPr>
          <w:rFonts w:asciiTheme="minorHAnsi" w:eastAsia="Arial" w:hAnsiTheme="minorHAnsi" w:cs="Arial"/>
          <w:color w:val="auto"/>
          <w:sz w:val="24"/>
        </w:rPr>
        <w:br/>
        <w:t xml:space="preserve">The EMP will provide guidance and support for the College’s emerging strategic directions and serve as a foundation for other College planning activities. </w:t>
      </w:r>
      <w:r w:rsidRPr="00F723F6">
        <w:rPr>
          <w:rFonts w:asciiTheme="minorHAnsi" w:eastAsia="Arial" w:hAnsiTheme="minorHAnsi" w:cs="Arial"/>
          <w:color w:val="auto"/>
          <w:sz w:val="24"/>
        </w:rPr>
        <w:br/>
      </w:r>
      <w:r w:rsidRPr="00F723F6">
        <w:rPr>
          <w:rFonts w:asciiTheme="minorHAnsi" w:eastAsia="Arial" w:hAnsiTheme="minorHAnsi" w:cs="Arial"/>
          <w:color w:val="auto"/>
          <w:sz w:val="24"/>
        </w:rPr>
        <w:br/>
      </w:r>
      <w:r w:rsidRPr="00F723F6">
        <w:rPr>
          <w:rFonts w:asciiTheme="minorHAnsi" w:eastAsia="Arial" w:hAnsiTheme="minorHAnsi" w:cs="Arial"/>
          <w:b/>
          <w:color w:val="auto"/>
          <w:sz w:val="24"/>
        </w:rPr>
        <w:t>Purpose of the Educational Master Plan</w:t>
      </w:r>
      <w:r w:rsidRPr="00F723F6">
        <w:rPr>
          <w:rFonts w:asciiTheme="minorHAnsi" w:eastAsia="Arial" w:hAnsiTheme="minorHAnsi" w:cs="Arial"/>
          <w:b/>
          <w:color w:val="auto"/>
          <w:sz w:val="24"/>
        </w:rPr>
        <w:br/>
      </w:r>
      <w:proofErr w:type="gramStart"/>
      <w:r w:rsidR="00F723F6">
        <w:rPr>
          <w:rFonts w:asciiTheme="minorHAnsi" w:eastAsia="Arial" w:hAnsiTheme="minorHAnsi" w:cs="Arial"/>
          <w:color w:val="auto"/>
          <w:sz w:val="24"/>
        </w:rPr>
        <w:t>T</w:t>
      </w:r>
      <w:r w:rsidR="00F723F6" w:rsidRPr="00F723F6">
        <w:rPr>
          <w:rFonts w:asciiTheme="minorHAnsi" w:eastAsia="Arial" w:hAnsiTheme="minorHAnsi" w:cs="Arial"/>
          <w:color w:val="auto"/>
          <w:sz w:val="24"/>
        </w:rPr>
        <w:t>he</w:t>
      </w:r>
      <w:proofErr w:type="gramEnd"/>
      <w:r w:rsidRPr="00F723F6">
        <w:rPr>
          <w:rFonts w:asciiTheme="minorHAnsi" w:eastAsia="Arial" w:hAnsiTheme="minorHAnsi" w:cs="Arial"/>
          <w:color w:val="auto"/>
          <w:sz w:val="24"/>
        </w:rPr>
        <w:t xml:space="preserve"> main purposes of this Educationa</w:t>
      </w:r>
      <w:r w:rsidR="00F723F6">
        <w:rPr>
          <w:rFonts w:asciiTheme="minorHAnsi" w:eastAsia="Arial" w:hAnsiTheme="minorHAnsi" w:cs="Arial"/>
          <w:color w:val="auto"/>
          <w:sz w:val="24"/>
        </w:rPr>
        <w:t>l Master Plan are as follows:</w:t>
      </w:r>
    </w:p>
    <w:p w:rsidR="00F723F6" w:rsidRPr="00F723F6" w:rsidRDefault="00136838" w:rsidP="00775E5A">
      <w:pPr>
        <w:pStyle w:val="ListParagraph"/>
        <w:numPr>
          <w:ilvl w:val="0"/>
          <w:numId w:val="9"/>
        </w:numPr>
        <w:spacing w:after="0" w:line="240" w:lineRule="auto"/>
        <w:rPr>
          <w:rFonts w:asciiTheme="minorHAnsi" w:hAnsiTheme="minorHAnsi"/>
          <w:sz w:val="24"/>
        </w:rPr>
      </w:pPr>
      <w:r w:rsidRPr="00F723F6">
        <w:rPr>
          <w:rFonts w:asciiTheme="minorHAnsi" w:eastAsia="Arial" w:hAnsiTheme="minorHAnsi" w:cs="Arial"/>
          <w:color w:val="auto"/>
          <w:sz w:val="24"/>
        </w:rPr>
        <w:t xml:space="preserve">Provide a framework within which the College can work in coordinated fashion toward long-term goals in </w:t>
      </w:r>
      <w:r w:rsidR="00F723F6" w:rsidRPr="00F723F6">
        <w:rPr>
          <w:rFonts w:asciiTheme="minorHAnsi" w:eastAsia="Arial" w:hAnsiTheme="minorHAnsi" w:cs="Arial"/>
          <w:color w:val="auto"/>
          <w:sz w:val="24"/>
        </w:rPr>
        <w:t>support of student learning.</w:t>
      </w:r>
      <w:r w:rsidR="00F723F6" w:rsidRPr="00F723F6">
        <w:rPr>
          <w:rFonts w:asciiTheme="minorHAnsi" w:eastAsia="Arial" w:hAnsiTheme="minorHAnsi" w:cs="Arial"/>
          <w:color w:val="auto"/>
          <w:sz w:val="24"/>
        </w:rPr>
        <w:br/>
      </w:r>
    </w:p>
    <w:p w:rsidR="00F723F6" w:rsidRPr="00F723F6" w:rsidRDefault="00136838" w:rsidP="00775E5A">
      <w:pPr>
        <w:pStyle w:val="ListParagraph"/>
        <w:numPr>
          <w:ilvl w:val="0"/>
          <w:numId w:val="9"/>
        </w:numPr>
        <w:spacing w:after="0" w:line="240" w:lineRule="auto"/>
        <w:rPr>
          <w:rFonts w:asciiTheme="minorHAnsi" w:hAnsiTheme="minorHAnsi"/>
          <w:sz w:val="24"/>
        </w:rPr>
      </w:pPr>
      <w:r w:rsidRPr="00F723F6">
        <w:rPr>
          <w:rFonts w:asciiTheme="minorHAnsi" w:eastAsia="Arial" w:hAnsiTheme="minorHAnsi" w:cs="Arial"/>
          <w:color w:val="auto"/>
          <w:sz w:val="24"/>
        </w:rPr>
        <w:t xml:space="preserve">Integrate planning, not only with the SBCCD and the </w:t>
      </w:r>
      <w:r w:rsidR="00FB6DA3">
        <w:rPr>
          <w:rFonts w:asciiTheme="minorHAnsi" w:eastAsia="Arial" w:hAnsiTheme="minorHAnsi" w:cs="Arial"/>
          <w:color w:val="auto"/>
          <w:sz w:val="24"/>
        </w:rPr>
        <w:t>State</w:t>
      </w:r>
      <w:r w:rsidRPr="00F723F6">
        <w:rPr>
          <w:rFonts w:asciiTheme="minorHAnsi" w:eastAsia="Arial" w:hAnsiTheme="minorHAnsi" w:cs="Arial"/>
          <w:color w:val="auto"/>
          <w:sz w:val="24"/>
        </w:rPr>
        <w:t xml:space="preserve"> Chancellor’s Office, but also with other College planning documents and the work of planning an</w:t>
      </w:r>
      <w:r w:rsidR="00FA52F3">
        <w:rPr>
          <w:rFonts w:asciiTheme="minorHAnsi" w:eastAsia="Arial" w:hAnsiTheme="minorHAnsi" w:cs="Arial"/>
          <w:color w:val="auto"/>
          <w:sz w:val="24"/>
        </w:rPr>
        <w:t>d consultation committees</w:t>
      </w:r>
      <w:r w:rsidR="00F723F6" w:rsidRPr="00F723F6">
        <w:rPr>
          <w:rFonts w:asciiTheme="minorHAnsi" w:eastAsia="Arial" w:hAnsiTheme="minorHAnsi" w:cs="Arial"/>
          <w:color w:val="auto"/>
          <w:sz w:val="24"/>
        </w:rPr>
        <w:t xml:space="preserve">. </w:t>
      </w:r>
      <w:r w:rsidR="00F723F6" w:rsidRPr="00F723F6">
        <w:rPr>
          <w:rFonts w:asciiTheme="minorHAnsi" w:eastAsia="Arial" w:hAnsiTheme="minorHAnsi" w:cs="Arial"/>
          <w:color w:val="auto"/>
          <w:sz w:val="24"/>
        </w:rPr>
        <w:br/>
      </w:r>
    </w:p>
    <w:p w:rsidR="00F723F6" w:rsidRPr="00F723F6" w:rsidRDefault="00136838" w:rsidP="00775E5A">
      <w:pPr>
        <w:pStyle w:val="ListParagraph"/>
        <w:numPr>
          <w:ilvl w:val="0"/>
          <w:numId w:val="9"/>
        </w:numPr>
        <w:spacing w:after="0" w:line="240" w:lineRule="auto"/>
        <w:rPr>
          <w:rFonts w:asciiTheme="minorHAnsi" w:hAnsiTheme="minorHAnsi"/>
          <w:sz w:val="24"/>
        </w:rPr>
      </w:pPr>
      <w:r w:rsidRPr="00F723F6">
        <w:rPr>
          <w:rFonts w:asciiTheme="minorHAnsi" w:eastAsia="Arial" w:hAnsiTheme="minorHAnsi" w:cs="Arial"/>
          <w:color w:val="auto"/>
          <w:sz w:val="24"/>
        </w:rPr>
        <w:t>Receive input from all stakeholders (faculty, staff, students and the community) to inform the College’s current situation an</w:t>
      </w:r>
      <w:r w:rsidR="00F723F6" w:rsidRPr="00F723F6">
        <w:rPr>
          <w:rFonts w:asciiTheme="minorHAnsi" w:eastAsia="Arial" w:hAnsiTheme="minorHAnsi" w:cs="Arial"/>
          <w:color w:val="auto"/>
          <w:sz w:val="24"/>
        </w:rPr>
        <w:t>d future planning decisions.</w:t>
      </w:r>
      <w:r w:rsidR="00F723F6" w:rsidRPr="00F723F6">
        <w:rPr>
          <w:rFonts w:asciiTheme="minorHAnsi" w:eastAsia="Arial" w:hAnsiTheme="minorHAnsi" w:cs="Arial"/>
          <w:color w:val="auto"/>
          <w:sz w:val="24"/>
        </w:rPr>
        <w:br/>
      </w:r>
    </w:p>
    <w:p w:rsidR="00F723F6" w:rsidRPr="00F723F6" w:rsidRDefault="00136838" w:rsidP="00775E5A">
      <w:pPr>
        <w:pStyle w:val="ListParagraph"/>
        <w:numPr>
          <w:ilvl w:val="0"/>
          <w:numId w:val="9"/>
        </w:numPr>
        <w:spacing w:after="0" w:line="240" w:lineRule="auto"/>
        <w:rPr>
          <w:rFonts w:asciiTheme="minorHAnsi" w:hAnsiTheme="minorHAnsi"/>
          <w:sz w:val="24"/>
        </w:rPr>
      </w:pPr>
      <w:r w:rsidRPr="00F723F6">
        <w:rPr>
          <w:rFonts w:asciiTheme="minorHAnsi" w:eastAsia="Arial" w:hAnsiTheme="minorHAnsi" w:cs="Arial"/>
          <w:color w:val="auto"/>
          <w:sz w:val="24"/>
        </w:rPr>
        <w:t>Serve as an instrument to promote the College and communicate its strengths and capabilities to its community a</w:t>
      </w:r>
      <w:r w:rsidR="00F723F6" w:rsidRPr="00F723F6">
        <w:rPr>
          <w:rFonts w:asciiTheme="minorHAnsi" w:eastAsia="Arial" w:hAnsiTheme="minorHAnsi" w:cs="Arial"/>
          <w:color w:val="auto"/>
          <w:sz w:val="24"/>
        </w:rPr>
        <w:t>nd other constituent groups.</w:t>
      </w:r>
      <w:r w:rsidR="00F723F6" w:rsidRPr="00F723F6">
        <w:rPr>
          <w:rFonts w:asciiTheme="minorHAnsi" w:eastAsia="Arial" w:hAnsiTheme="minorHAnsi" w:cs="Arial"/>
          <w:color w:val="auto"/>
          <w:sz w:val="24"/>
        </w:rPr>
        <w:br/>
      </w:r>
    </w:p>
    <w:p w:rsidR="00FA52F3" w:rsidRPr="00A85FF0" w:rsidRDefault="00136838" w:rsidP="00A85FF0">
      <w:pPr>
        <w:pStyle w:val="ListParagraph"/>
        <w:numPr>
          <w:ilvl w:val="0"/>
          <w:numId w:val="9"/>
        </w:numPr>
        <w:spacing w:after="0" w:line="240" w:lineRule="auto"/>
        <w:rPr>
          <w:rFonts w:asciiTheme="minorHAnsi" w:hAnsiTheme="minorHAnsi"/>
          <w:sz w:val="24"/>
        </w:rPr>
      </w:pPr>
      <w:r w:rsidRPr="00F723F6">
        <w:rPr>
          <w:rFonts w:asciiTheme="minorHAnsi" w:eastAsia="Arial" w:hAnsiTheme="minorHAnsi" w:cs="Arial"/>
          <w:color w:val="auto"/>
          <w:sz w:val="24"/>
        </w:rPr>
        <w:t>Guide further planning and decision-making at all levels, and remain a living, strategically useful docu</w:t>
      </w:r>
      <w:r w:rsidR="00F723F6" w:rsidRPr="00F723F6">
        <w:rPr>
          <w:rFonts w:asciiTheme="minorHAnsi" w:eastAsia="Arial" w:hAnsiTheme="minorHAnsi" w:cs="Arial"/>
          <w:color w:val="auto"/>
          <w:sz w:val="24"/>
        </w:rPr>
        <w:t>m</w:t>
      </w:r>
      <w:r w:rsidR="0032023F">
        <w:rPr>
          <w:rFonts w:asciiTheme="minorHAnsi" w:eastAsia="Arial" w:hAnsiTheme="minorHAnsi" w:cs="Arial"/>
          <w:color w:val="auto"/>
          <w:sz w:val="24"/>
        </w:rPr>
        <w:t>ent.</w:t>
      </w:r>
      <w:r w:rsidR="0032023F" w:rsidRPr="00A85FF0">
        <w:rPr>
          <w:rFonts w:asciiTheme="minorHAnsi" w:eastAsia="Arial" w:hAnsiTheme="minorHAnsi" w:cs="Arial"/>
          <w:color w:val="auto"/>
          <w:sz w:val="24"/>
        </w:rPr>
        <w:br/>
      </w:r>
    </w:p>
    <w:p w:rsidR="0032023F" w:rsidRDefault="0032023F" w:rsidP="0032023F">
      <w:pPr>
        <w:spacing w:after="0" w:line="240" w:lineRule="auto"/>
        <w:rPr>
          <w:rFonts w:asciiTheme="minorHAnsi" w:hAnsiTheme="minorHAnsi"/>
          <w:sz w:val="24"/>
        </w:rPr>
      </w:pPr>
    </w:p>
    <w:p w:rsidR="0032023F" w:rsidRDefault="0032023F" w:rsidP="0032023F">
      <w:pPr>
        <w:spacing w:after="0" w:line="240" w:lineRule="auto"/>
        <w:rPr>
          <w:rFonts w:asciiTheme="minorHAnsi" w:hAnsiTheme="minorHAnsi"/>
          <w:sz w:val="24"/>
        </w:rPr>
      </w:pPr>
    </w:p>
    <w:p w:rsidR="0032023F" w:rsidRPr="0032023F" w:rsidRDefault="0032023F" w:rsidP="0032023F">
      <w:pPr>
        <w:spacing w:after="0" w:line="240" w:lineRule="auto"/>
        <w:rPr>
          <w:rFonts w:asciiTheme="minorHAnsi" w:hAnsiTheme="minorHAnsi"/>
          <w:sz w:val="24"/>
        </w:rPr>
      </w:pPr>
    </w:p>
    <w:p w:rsidR="00AD1889" w:rsidRPr="00FA52F3" w:rsidRDefault="00136838" w:rsidP="0032023F">
      <w:pPr>
        <w:spacing w:after="0" w:line="240" w:lineRule="auto"/>
        <w:rPr>
          <w:rFonts w:asciiTheme="minorHAnsi" w:hAnsiTheme="minorHAnsi"/>
          <w:sz w:val="24"/>
        </w:rPr>
      </w:pPr>
      <w:r w:rsidRPr="00FA52F3">
        <w:rPr>
          <w:rFonts w:asciiTheme="minorHAnsi" w:eastAsia="Arial" w:hAnsiTheme="minorHAnsi" w:cs="Arial"/>
          <w:b/>
          <w:color w:val="auto"/>
          <w:sz w:val="24"/>
        </w:rPr>
        <w:lastRenderedPageBreak/>
        <w:t>Integrated Planning and Collegial Consultation Process</w:t>
      </w:r>
      <w:r w:rsidRPr="00FA52F3">
        <w:rPr>
          <w:rFonts w:asciiTheme="minorHAnsi" w:eastAsia="Arial" w:hAnsiTheme="minorHAnsi" w:cs="Arial"/>
          <w:b/>
          <w:color w:val="auto"/>
          <w:sz w:val="24"/>
        </w:rPr>
        <w:br/>
      </w:r>
      <w:proofErr w:type="gramStart"/>
      <w:r w:rsidRPr="00FA52F3">
        <w:rPr>
          <w:rFonts w:asciiTheme="minorHAnsi" w:eastAsia="Arial" w:hAnsiTheme="minorHAnsi" w:cs="Arial"/>
          <w:color w:val="auto"/>
          <w:sz w:val="24"/>
        </w:rPr>
        <w:t>The</w:t>
      </w:r>
      <w:proofErr w:type="gramEnd"/>
      <w:r w:rsidRPr="00FA52F3">
        <w:rPr>
          <w:rFonts w:asciiTheme="minorHAnsi" w:eastAsia="Arial" w:hAnsiTheme="minorHAnsi" w:cs="Arial"/>
          <w:color w:val="auto"/>
          <w:sz w:val="24"/>
        </w:rPr>
        <w:t xml:space="preserve"> framework of the College’s educational planning process is guided by an integrated approach. Strategic directions of the CHC Educational Master Plan must align with a number of larger and smaller plans. Larger plans include the </w:t>
      </w:r>
      <w:r w:rsidR="00FB6DA3">
        <w:rPr>
          <w:rFonts w:asciiTheme="minorHAnsi" w:eastAsia="Arial" w:hAnsiTheme="minorHAnsi" w:cs="Arial"/>
          <w:color w:val="auto"/>
          <w:sz w:val="24"/>
        </w:rPr>
        <w:t>State</w:t>
      </w:r>
      <w:r w:rsidRPr="00FA52F3">
        <w:rPr>
          <w:rFonts w:asciiTheme="minorHAnsi" w:eastAsia="Arial" w:hAnsiTheme="minorHAnsi" w:cs="Arial"/>
          <w:color w:val="auto"/>
          <w:sz w:val="24"/>
        </w:rPr>
        <w:t xml:space="preserve"> Chancellor’s Office and San Bernardino Community College District Strategic Plans. Smaller College-level plans include the Facilities Master Plan, Technology Plan, </w:t>
      </w:r>
      <w:r w:rsidR="00FA52F3">
        <w:rPr>
          <w:rFonts w:asciiTheme="minorHAnsi" w:eastAsia="Arial" w:hAnsiTheme="minorHAnsi" w:cs="Arial"/>
          <w:color w:val="auto"/>
          <w:sz w:val="24"/>
        </w:rPr>
        <w:t>Student Success</w:t>
      </w:r>
      <w:r w:rsidRPr="00FA52F3">
        <w:rPr>
          <w:rFonts w:asciiTheme="minorHAnsi" w:eastAsia="Arial" w:hAnsiTheme="minorHAnsi" w:cs="Arial"/>
          <w:color w:val="auto"/>
          <w:sz w:val="24"/>
        </w:rPr>
        <w:t xml:space="preserve"> Plan</w:t>
      </w:r>
      <w:r w:rsidR="00FA52F3">
        <w:rPr>
          <w:rFonts w:asciiTheme="minorHAnsi" w:eastAsia="Arial" w:hAnsiTheme="minorHAnsi" w:cs="Arial"/>
          <w:color w:val="auto"/>
          <w:sz w:val="24"/>
        </w:rPr>
        <w:t xml:space="preserve"> (formerly matriculation)</w:t>
      </w:r>
      <w:r w:rsidRPr="00FA52F3">
        <w:rPr>
          <w:rFonts w:asciiTheme="minorHAnsi" w:eastAsia="Arial" w:hAnsiTheme="minorHAnsi" w:cs="Arial"/>
          <w:color w:val="auto"/>
          <w:sz w:val="24"/>
        </w:rPr>
        <w:t xml:space="preserve">, Enrollment Management Plan, Student Equity Plan, </w:t>
      </w:r>
      <w:r w:rsidR="00FA52F3">
        <w:rPr>
          <w:rFonts w:asciiTheme="minorHAnsi" w:eastAsia="Arial" w:hAnsiTheme="minorHAnsi" w:cs="Arial"/>
          <w:color w:val="auto"/>
          <w:sz w:val="24"/>
        </w:rPr>
        <w:t>and Financial</w:t>
      </w:r>
      <w:r w:rsidRPr="00FA52F3">
        <w:rPr>
          <w:rFonts w:asciiTheme="minorHAnsi" w:eastAsia="Arial" w:hAnsiTheme="minorHAnsi" w:cs="Arial"/>
          <w:color w:val="auto"/>
          <w:sz w:val="24"/>
        </w:rPr>
        <w:t xml:space="preserve"> Plan.</w:t>
      </w:r>
      <w:r w:rsidRPr="00FA52F3">
        <w:rPr>
          <w:rFonts w:asciiTheme="minorHAnsi" w:eastAsia="Arial" w:hAnsiTheme="minorHAnsi" w:cs="Arial"/>
          <w:color w:val="auto"/>
          <w:sz w:val="24"/>
        </w:rPr>
        <w:br/>
      </w:r>
      <w:r w:rsidRPr="00FA52F3">
        <w:rPr>
          <w:rFonts w:asciiTheme="minorHAnsi" w:eastAsia="Arial" w:hAnsiTheme="minorHAnsi" w:cs="Arial"/>
          <w:color w:val="auto"/>
          <w:sz w:val="24"/>
        </w:rPr>
        <w:br/>
        <w:t>Exhibit 1.XX Integrated Planning Relationships</w:t>
      </w:r>
      <w:r w:rsidRPr="00FA52F3">
        <w:rPr>
          <w:rFonts w:asciiTheme="minorHAnsi" w:eastAsia="Arial" w:hAnsiTheme="minorHAnsi" w:cs="Arial"/>
          <w:color w:val="FF0000"/>
          <w:sz w:val="24"/>
        </w:rPr>
        <w:t xml:space="preserve"> </w:t>
      </w:r>
      <w:r w:rsidRPr="00F723F6">
        <w:rPr>
          <w:noProof/>
        </w:rPr>
        <w:drawing>
          <wp:inline distT="114300" distB="114300" distL="114300" distR="114300">
            <wp:extent cx="3429000" cy="3438525"/>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cstate="print"/>
                    <a:srcRect/>
                    <a:stretch>
                      <a:fillRect/>
                    </a:stretch>
                  </pic:blipFill>
                  <pic:spPr>
                    <a:xfrm>
                      <a:off x="0" y="0"/>
                      <a:ext cx="3429000" cy="3438525"/>
                    </a:xfrm>
                    <a:prstGeom prst="rect">
                      <a:avLst/>
                    </a:prstGeom>
                    <a:ln/>
                  </pic:spPr>
                </pic:pic>
              </a:graphicData>
            </a:graphic>
          </wp:inline>
        </w:drawing>
      </w:r>
      <w:r w:rsidRPr="00FA52F3">
        <w:rPr>
          <w:rFonts w:asciiTheme="minorHAnsi" w:eastAsia="Arial" w:hAnsiTheme="minorHAnsi" w:cs="Arial"/>
          <w:color w:val="FF0000"/>
          <w:sz w:val="24"/>
        </w:rPr>
        <w:br/>
      </w:r>
      <w:r w:rsidRPr="00FA52F3">
        <w:rPr>
          <w:rFonts w:asciiTheme="minorHAnsi" w:eastAsia="Arial" w:hAnsiTheme="minorHAnsi" w:cs="Arial"/>
          <w:color w:val="FF0000"/>
          <w:sz w:val="24"/>
        </w:rPr>
        <w:br/>
      </w:r>
      <w:proofErr w:type="gramStart"/>
      <w:r w:rsidRPr="00FA52F3">
        <w:rPr>
          <w:rFonts w:asciiTheme="minorHAnsi" w:eastAsia="Arial" w:hAnsiTheme="minorHAnsi" w:cs="Arial"/>
          <w:color w:val="auto"/>
          <w:sz w:val="24"/>
        </w:rPr>
        <w:t>The</w:t>
      </w:r>
      <w:proofErr w:type="gramEnd"/>
      <w:r w:rsidRPr="00FA52F3">
        <w:rPr>
          <w:rFonts w:asciiTheme="minorHAnsi" w:eastAsia="Arial" w:hAnsiTheme="minorHAnsi" w:cs="Arial"/>
          <w:color w:val="auto"/>
          <w:sz w:val="24"/>
        </w:rPr>
        <w:t xml:space="preserve"> CHC Collegial Consultation process is guided by its Board of Trustees policy (Board Policy 2225) to establish procedures to ensure faculty, management, classified staff and students the right to participate effectively in planning processes. This EMP document is a result of an inclusive collegial shared governance process with input from administration, faculty, staff, students, and the community.</w:t>
      </w:r>
      <w:r w:rsidRPr="00FA52F3">
        <w:rPr>
          <w:rFonts w:asciiTheme="minorHAnsi" w:eastAsia="Arial" w:hAnsiTheme="minorHAnsi" w:cs="Arial"/>
          <w:color w:val="FF0000"/>
          <w:sz w:val="24"/>
        </w:rPr>
        <w:br/>
      </w:r>
      <w:r w:rsidRPr="00FA52F3">
        <w:rPr>
          <w:rFonts w:asciiTheme="minorHAnsi" w:eastAsia="Arial" w:hAnsiTheme="minorHAnsi" w:cs="Arial"/>
          <w:color w:val="FF0000"/>
          <w:sz w:val="24"/>
        </w:rPr>
        <w:br/>
      </w:r>
      <w:r w:rsidRPr="00FA52F3">
        <w:rPr>
          <w:rFonts w:asciiTheme="minorHAnsi" w:eastAsia="Arial" w:hAnsiTheme="minorHAnsi" w:cs="Arial"/>
          <w:color w:val="FF0000"/>
          <w:sz w:val="24"/>
        </w:rPr>
        <w:lastRenderedPageBreak/>
        <w:t>Exhibit 1.XX EMP Collegial Consultation</w:t>
      </w:r>
      <w:r w:rsidRPr="00FA52F3">
        <w:rPr>
          <w:rFonts w:asciiTheme="minorHAnsi" w:eastAsia="Arial" w:hAnsiTheme="minorHAnsi" w:cs="Arial"/>
          <w:color w:val="FF0000"/>
          <w:sz w:val="24"/>
        </w:rPr>
        <w:br/>
      </w:r>
      <w:r w:rsidRPr="00F723F6">
        <w:rPr>
          <w:noProof/>
        </w:rPr>
        <w:drawing>
          <wp:inline distT="114300" distB="114300" distL="114300" distR="114300">
            <wp:extent cx="5715000" cy="360997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cstate="print"/>
                    <a:srcRect/>
                    <a:stretch>
                      <a:fillRect/>
                    </a:stretch>
                  </pic:blipFill>
                  <pic:spPr>
                    <a:xfrm>
                      <a:off x="0" y="0"/>
                      <a:ext cx="5715000" cy="3609975"/>
                    </a:xfrm>
                    <a:prstGeom prst="rect">
                      <a:avLst/>
                    </a:prstGeom>
                    <a:ln/>
                  </pic:spPr>
                </pic:pic>
              </a:graphicData>
            </a:graphic>
          </wp:inline>
        </w:drawing>
      </w:r>
    </w:p>
    <w:p w:rsidR="00AD1889" w:rsidRPr="00F723F6" w:rsidRDefault="00AD1889">
      <w:pPr>
        <w:rPr>
          <w:rFonts w:asciiTheme="minorHAnsi" w:hAnsiTheme="minorHAnsi"/>
          <w:sz w:val="24"/>
        </w:rPr>
      </w:pPr>
    </w:p>
    <w:p w:rsidR="00AD1889" w:rsidRPr="00F723F6" w:rsidRDefault="00136838">
      <w:pPr>
        <w:rPr>
          <w:rFonts w:asciiTheme="minorHAnsi" w:hAnsiTheme="minorHAnsi"/>
          <w:sz w:val="24"/>
        </w:rPr>
      </w:pPr>
      <w:r w:rsidRPr="00F723F6">
        <w:rPr>
          <w:rFonts w:asciiTheme="minorHAnsi" w:eastAsia="Arial" w:hAnsiTheme="minorHAnsi" w:cs="Arial"/>
          <w:b/>
          <w:sz w:val="24"/>
        </w:rPr>
        <w:t>Campus Development Process</w:t>
      </w:r>
    </w:p>
    <w:p w:rsidR="00AD1889" w:rsidRPr="00F723F6" w:rsidRDefault="00136838">
      <w:pPr>
        <w:rPr>
          <w:rFonts w:asciiTheme="minorHAnsi" w:hAnsiTheme="minorHAnsi"/>
          <w:sz w:val="24"/>
        </w:rPr>
      </w:pPr>
      <w:r w:rsidRPr="00F723F6">
        <w:rPr>
          <w:rFonts w:asciiTheme="minorHAnsi" w:eastAsia="Arial" w:hAnsiTheme="minorHAnsi" w:cs="Arial"/>
          <w:color w:val="FF0000"/>
          <w:sz w:val="24"/>
        </w:rPr>
        <w:t>Add content</w:t>
      </w:r>
    </w:p>
    <w:p w:rsidR="00DE3088" w:rsidRPr="0032023F" w:rsidRDefault="00136838">
      <w:pPr>
        <w:rPr>
          <w:rFonts w:asciiTheme="minorHAnsi" w:eastAsia="Arial" w:hAnsiTheme="minorHAnsi" w:cs="Arial"/>
          <w:b/>
          <w:sz w:val="24"/>
        </w:rPr>
      </w:pPr>
      <w:r w:rsidRPr="00F723F6">
        <w:rPr>
          <w:rFonts w:asciiTheme="minorHAnsi" w:eastAsia="Arial" w:hAnsiTheme="minorHAnsi" w:cs="Arial"/>
          <w:b/>
          <w:sz w:val="24"/>
        </w:rPr>
        <w:t>Plann</w:t>
      </w:r>
      <w:r w:rsidR="00FA52F3" w:rsidRPr="00F723F6">
        <w:rPr>
          <w:rFonts w:asciiTheme="minorHAnsi" w:eastAsia="Arial" w:hAnsiTheme="minorHAnsi" w:cs="Arial"/>
          <w:b/>
          <w:sz w:val="24"/>
        </w:rPr>
        <w:t>ing Assumptions</w:t>
      </w:r>
      <w:r w:rsidR="00DE3088" w:rsidRPr="00DE3088">
        <w:rPr>
          <w:rFonts w:asciiTheme="minorHAnsi" w:hAnsiTheme="minorHAnsi"/>
          <w:sz w:val="24"/>
        </w:rPr>
        <w:t xml:space="preserve"> </w:t>
      </w:r>
      <w:r w:rsidR="002F4B78">
        <w:rPr>
          <w:rFonts w:asciiTheme="minorHAnsi" w:hAnsiTheme="minorHAnsi"/>
          <w:color w:val="FF0000"/>
          <w:sz w:val="24"/>
        </w:rPr>
        <w:t>(DRAFT)</w:t>
      </w:r>
    </w:p>
    <w:p w:rsidR="00DE3088" w:rsidRDefault="00DE3088" w:rsidP="00DE3088">
      <w:pPr>
        <w:rPr>
          <w:rFonts w:asciiTheme="minorHAnsi" w:hAnsiTheme="minorHAnsi"/>
          <w:sz w:val="24"/>
        </w:rPr>
      </w:pPr>
      <w:r w:rsidRPr="00F723F6">
        <w:rPr>
          <w:rFonts w:asciiTheme="minorHAnsi" w:hAnsiTheme="minorHAnsi"/>
          <w:sz w:val="24"/>
        </w:rPr>
        <w:t>A common model of developing planning assumptions, building strategies to support those assumptions, expecting certain outcomes, and assessing outcomes has been used for this plan and is part of the integrated planning process.</w:t>
      </w:r>
      <w:r w:rsidRPr="00DE3088">
        <w:rPr>
          <w:rFonts w:asciiTheme="minorHAnsi" w:hAnsiTheme="minorHAnsi"/>
          <w:sz w:val="24"/>
        </w:rPr>
        <w:t xml:space="preserve"> </w:t>
      </w:r>
      <w:r w:rsidRPr="00F723F6">
        <w:rPr>
          <w:rFonts w:asciiTheme="minorHAnsi" w:hAnsiTheme="minorHAnsi"/>
          <w:sz w:val="24"/>
        </w:rPr>
        <w:t xml:space="preserve">The following are the most current assumptions using data received from internal and external sources. </w:t>
      </w:r>
    </w:p>
    <w:p w:rsidR="00DE3088" w:rsidRPr="00DE3088" w:rsidRDefault="00FA52F3" w:rsidP="00775E5A">
      <w:pPr>
        <w:pStyle w:val="ListParagraph"/>
        <w:numPr>
          <w:ilvl w:val="0"/>
          <w:numId w:val="10"/>
        </w:numPr>
        <w:rPr>
          <w:rFonts w:asciiTheme="minorHAnsi" w:hAnsiTheme="minorHAnsi"/>
          <w:sz w:val="24"/>
        </w:rPr>
      </w:pPr>
      <w:r w:rsidRPr="00DE3088">
        <w:rPr>
          <w:rFonts w:asciiTheme="minorHAnsi" w:hAnsiTheme="minorHAnsi"/>
          <w:sz w:val="24"/>
        </w:rPr>
        <w:t>The economy is unpred</w:t>
      </w:r>
      <w:r w:rsidR="00DE3088" w:rsidRPr="00DE3088">
        <w:rPr>
          <w:rFonts w:asciiTheme="minorHAnsi" w:hAnsiTheme="minorHAnsi"/>
          <w:sz w:val="24"/>
        </w:rPr>
        <w:t xml:space="preserve">ictable and </w:t>
      </w:r>
      <w:r w:rsidR="00DE3088">
        <w:rPr>
          <w:rFonts w:asciiTheme="minorHAnsi" w:hAnsiTheme="minorHAnsi"/>
          <w:sz w:val="24"/>
        </w:rPr>
        <w:t>t</w:t>
      </w:r>
      <w:r w:rsidR="00DE3088" w:rsidRPr="00DE3088">
        <w:rPr>
          <w:rFonts w:asciiTheme="minorHAnsi" w:hAnsiTheme="minorHAnsi"/>
          <w:sz w:val="24"/>
        </w:rPr>
        <w:t xml:space="preserve">he District’s funding cap determined by the </w:t>
      </w:r>
      <w:r w:rsidR="00FB6DA3">
        <w:rPr>
          <w:rFonts w:asciiTheme="minorHAnsi" w:hAnsiTheme="minorHAnsi"/>
          <w:sz w:val="24"/>
        </w:rPr>
        <w:t>state</w:t>
      </w:r>
      <w:r w:rsidR="00DE3088" w:rsidRPr="00DE3088">
        <w:rPr>
          <w:rFonts w:asciiTheme="minorHAnsi" w:hAnsiTheme="minorHAnsi"/>
          <w:sz w:val="24"/>
        </w:rPr>
        <w:t xml:space="preserve"> is subject to frequent change</w:t>
      </w:r>
    </w:p>
    <w:p w:rsidR="00DE3088" w:rsidRDefault="007B3DD4" w:rsidP="00775E5A">
      <w:pPr>
        <w:pStyle w:val="ListParagraph"/>
        <w:numPr>
          <w:ilvl w:val="0"/>
          <w:numId w:val="10"/>
        </w:numPr>
        <w:rPr>
          <w:rFonts w:asciiTheme="minorHAnsi" w:hAnsiTheme="minorHAnsi"/>
          <w:sz w:val="24"/>
        </w:rPr>
      </w:pPr>
      <w:r w:rsidRPr="00DE3088">
        <w:rPr>
          <w:rFonts w:asciiTheme="minorHAnsi" w:hAnsiTheme="minorHAnsi"/>
          <w:sz w:val="24"/>
        </w:rPr>
        <w:t xml:space="preserve">The FTES targets for the Colleges in the District must be within a flexible range to increase or decrease based on information from the </w:t>
      </w:r>
      <w:r w:rsidR="00FB6DA3">
        <w:rPr>
          <w:rFonts w:asciiTheme="minorHAnsi" w:hAnsiTheme="minorHAnsi"/>
          <w:sz w:val="24"/>
        </w:rPr>
        <w:t>State</w:t>
      </w:r>
      <w:r w:rsidRPr="00DE3088">
        <w:rPr>
          <w:rFonts w:asciiTheme="minorHAnsi" w:hAnsiTheme="minorHAnsi"/>
          <w:sz w:val="24"/>
        </w:rPr>
        <w:t xml:space="preserve"> and the District regarding the budge</w:t>
      </w:r>
    </w:p>
    <w:p w:rsidR="00DE3088" w:rsidRPr="002F4B78" w:rsidRDefault="007B3DD4" w:rsidP="00775E5A">
      <w:pPr>
        <w:pStyle w:val="ListParagraph"/>
        <w:numPr>
          <w:ilvl w:val="0"/>
          <w:numId w:val="10"/>
        </w:numPr>
        <w:spacing w:after="0"/>
        <w:rPr>
          <w:rFonts w:asciiTheme="minorHAnsi" w:hAnsiTheme="minorHAnsi"/>
          <w:sz w:val="24"/>
          <w:szCs w:val="24"/>
        </w:rPr>
      </w:pPr>
      <w:r w:rsidRPr="00DE3088">
        <w:rPr>
          <w:rFonts w:asciiTheme="minorHAnsi" w:hAnsiTheme="minorHAnsi"/>
          <w:sz w:val="24"/>
        </w:rPr>
        <w:t xml:space="preserve">The </w:t>
      </w:r>
      <w:r w:rsidR="00DE3088" w:rsidRPr="002F4B78">
        <w:rPr>
          <w:rFonts w:asciiTheme="minorHAnsi" w:hAnsiTheme="minorHAnsi"/>
          <w:sz w:val="24"/>
          <w:szCs w:val="24"/>
        </w:rPr>
        <w:t>College</w:t>
      </w:r>
      <w:r w:rsidRPr="002F4B78">
        <w:rPr>
          <w:rFonts w:asciiTheme="minorHAnsi" w:hAnsiTheme="minorHAnsi"/>
          <w:sz w:val="24"/>
          <w:szCs w:val="24"/>
        </w:rPr>
        <w:t xml:space="preserve"> will focus on evidence to inform the scheduling of its programs and courses</w:t>
      </w:r>
    </w:p>
    <w:p w:rsidR="002F4B78" w:rsidRPr="002F4B78" w:rsidRDefault="002F4B78" w:rsidP="00775E5A">
      <w:pPr>
        <w:numPr>
          <w:ilvl w:val="0"/>
          <w:numId w:val="10"/>
        </w:numPr>
        <w:spacing w:after="0"/>
        <w:contextualSpacing/>
        <w:rPr>
          <w:rFonts w:asciiTheme="minorHAnsi" w:hAnsiTheme="minorHAnsi"/>
          <w:sz w:val="24"/>
          <w:szCs w:val="24"/>
        </w:rPr>
      </w:pPr>
      <w:r w:rsidRPr="002F4B78">
        <w:rPr>
          <w:rFonts w:asciiTheme="minorHAnsi" w:eastAsia="Arial" w:hAnsiTheme="minorHAnsi" w:cs="Arial"/>
          <w:sz w:val="24"/>
          <w:szCs w:val="24"/>
        </w:rPr>
        <w:t>Current enrollment patterns and staffing ratios limit near-term program development</w:t>
      </w:r>
    </w:p>
    <w:p w:rsidR="002F4B78" w:rsidRPr="002F4B78" w:rsidRDefault="007B3DD4" w:rsidP="00775E5A">
      <w:pPr>
        <w:numPr>
          <w:ilvl w:val="0"/>
          <w:numId w:val="10"/>
        </w:numPr>
        <w:spacing w:after="0"/>
        <w:contextualSpacing/>
        <w:rPr>
          <w:rFonts w:asciiTheme="minorHAnsi" w:hAnsiTheme="minorHAnsi"/>
          <w:sz w:val="24"/>
          <w:szCs w:val="24"/>
        </w:rPr>
      </w:pPr>
      <w:r w:rsidRPr="002F4B78">
        <w:rPr>
          <w:rFonts w:asciiTheme="minorHAnsi" w:hAnsiTheme="minorHAnsi"/>
          <w:sz w:val="24"/>
          <w:szCs w:val="24"/>
        </w:rPr>
        <w:t xml:space="preserve">Enrollments are constrained by facility and staff availability. </w:t>
      </w:r>
      <w:r w:rsidR="002F4B78" w:rsidRPr="002F4B78">
        <w:rPr>
          <w:rFonts w:asciiTheme="minorHAnsi" w:eastAsia="Arial" w:hAnsiTheme="minorHAnsi" w:cs="Arial"/>
          <w:sz w:val="24"/>
          <w:szCs w:val="24"/>
        </w:rPr>
        <w:t>Large numbers of part time instructors constrain program expansion</w:t>
      </w:r>
    </w:p>
    <w:p w:rsidR="002F4B78" w:rsidRPr="002F4B78" w:rsidRDefault="002F4B78" w:rsidP="00775E5A">
      <w:pPr>
        <w:numPr>
          <w:ilvl w:val="0"/>
          <w:numId w:val="10"/>
        </w:numPr>
        <w:spacing w:after="0"/>
        <w:contextualSpacing/>
        <w:rPr>
          <w:rFonts w:asciiTheme="minorHAnsi" w:hAnsiTheme="minorHAnsi"/>
          <w:sz w:val="24"/>
          <w:szCs w:val="24"/>
        </w:rPr>
      </w:pPr>
      <w:r w:rsidRPr="002F4B78">
        <w:rPr>
          <w:rFonts w:asciiTheme="minorHAnsi" w:eastAsia="Arial" w:hAnsiTheme="minorHAnsi" w:cs="Arial"/>
          <w:sz w:val="24"/>
          <w:szCs w:val="24"/>
        </w:rPr>
        <w:t>The need to replace a substantial number of retiring personnel will be challenging.  It will be important to maintain high quality programs and services during the transition</w:t>
      </w:r>
    </w:p>
    <w:p w:rsidR="00DE3088" w:rsidRPr="002F4B78" w:rsidRDefault="007B3DD4" w:rsidP="00775E5A">
      <w:pPr>
        <w:pStyle w:val="ListParagraph"/>
        <w:numPr>
          <w:ilvl w:val="0"/>
          <w:numId w:val="10"/>
        </w:numPr>
        <w:spacing w:after="0"/>
        <w:rPr>
          <w:rFonts w:asciiTheme="minorHAnsi" w:hAnsiTheme="minorHAnsi"/>
          <w:sz w:val="24"/>
          <w:szCs w:val="24"/>
        </w:rPr>
      </w:pPr>
      <w:r w:rsidRPr="002F4B78">
        <w:rPr>
          <w:rFonts w:asciiTheme="minorHAnsi" w:hAnsiTheme="minorHAnsi"/>
          <w:sz w:val="24"/>
          <w:szCs w:val="24"/>
        </w:rPr>
        <w:lastRenderedPageBreak/>
        <w:t>Legislative Mandates</w:t>
      </w:r>
      <w:r w:rsidR="00DE3088" w:rsidRPr="002F4B78">
        <w:rPr>
          <w:rFonts w:asciiTheme="minorHAnsi" w:hAnsiTheme="minorHAnsi"/>
          <w:sz w:val="24"/>
          <w:szCs w:val="24"/>
        </w:rPr>
        <w:t xml:space="preserve"> will impact enrollment and college </w:t>
      </w:r>
      <w:r w:rsidR="00354717" w:rsidRPr="002F4B78">
        <w:rPr>
          <w:rFonts w:asciiTheme="minorHAnsi" w:hAnsiTheme="minorHAnsi"/>
          <w:sz w:val="24"/>
          <w:szCs w:val="24"/>
        </w:rPr>
        <w:t>goals.</w:t>
      </w:r>
    </w:p>
    <w:p w:rsidR="00D63227" w:rsidRPr="002F4B78" w:rsidRDefault="00D63227" w:rsidP="00775E5A">
      <w:pPr>
        <w:numPr>
          <w:ilvl w:val="0"/>
          <w:numId w:val="10"/>
        </w:numPr>
        <w:contextualSpacing/>
        <w:rPr>
          <w:rFonts w:asciiTheme="minorHAnsi" w:hAnsiTheme="minorHAnsi"/>
          <w:sz w:val="24"/>
          <w:szCs w:val="24"/>
        </w:rPr>
      </w:pPr>
      <w:r w:rsidRPr="002F4B78">
        <w:rPr>
          <w:rFonts w:asciiTheme="minorHAnsi" w:eastAsia="Arial" w:hAnsiTheme="minorHAnsi" w:cs="Arial"/>
          <w:sz w:val="24"/>
          <w:szCs w:val="24"/>
        </w:rPr>
        <w:t>While the likelihood of adding new buildings to the inventory is the near future is doubtful, the development of the athletics program, renovation of the performing arts building, and a number of building modifications should remain as priorities.</w:t>
      </w:r>
    </w:p>
    <w:p w:rsidR="0032023F" w:rsidRDefault="0032023F">
      <w:pPr>
        <w:rPr>
          <w:rFonts w:asciiTheme="minorHAnsi" w:eastAsia="Arial" w:hAnsiTheme="minorHAnsi" w:cs="Arial"/>
          <w:color w:val="FF0000"/>
          <w:sz w:val="24"/>
        </w:rPr>
      </w:pPr>
    </w:p>
    <w:p w:rsidR="00AD1889" w:rsidRPr="00F723F6" w:rsidRDefault="002F4B78">
      <w:pPr>
        <w:rPr>
          <w:rFonts w:asciiTheme="minorHAnsi" w:hAnsiTheme="minorHAnsi"/>
          <w:sz w:val="24"/>
        </w:rPr>
      </w:pPr>
      <w:r>
        <w:rPr>
          <w:rFonts w:asciiTheme="minorHAnsi" w:eastAsia="Arial" w:hAnsiTheme="minorHAnsi" w:cs="Arial"/>
          <w:color w:val="FF0000"/>
          <w:sz w:val="24"/>
        </w:rPr>
        <w:t>Revise and a</w:t>
      </w:r>
      <w:r w:rsidR="00136838" w:rsidRPr="00F723F6">
        <w:rPr>
          <w:rFonts w:asciiTheme="minorHAnsi" w:eastAsia="Arial" w:hAnsiTheme="minorHAnsi" w:cs="Arial"/>
          <w:color w:val="FF0000"/>
          <w:sz w:val="24"/>
        </w:rPr>
        <w:t xml:space="preserve">dd </w:t>
      </w:r>
      <w:r w:rsidR="00354717">
        <w:rPr>
          <w:rFonts w:asciiTheme="minorHAnsi" w:eastAsia="Arial" w:hAnsiTheme="minorHAnsi" w:cs="Arial"/>
          <w:color w:val="FF0000"/>
          <w:sz w:val="24"/>
        </w:rPr>
        <w:t xml:space="preserve">more </w:t>
      </w:r>
      <w:r w:rsidR="00136838" w:rsidRPr="00F723F6">
        <w:rPr>
          <w:rFonts w:asciiTheme="minorHAnsi" w:eastAsia="Arial" w:hAnsiTheme="minorHAnsi" w:cs="Arial"/>
          <w:color w:val="FF0000"/>
          <w:sz w:val="24"/>
        </w:rPr>
        <w:t>content</w:t>
      </w:r>
    </w:p>
    <w:p w:rsidR="00775E5A" w:rsidRPr="00BE6C79" w:rsidRDefault="00775E5A" w:rsidP="00775E5A">
      <w:pPr>
        <w:jc w:val="both"/>
        <w:rPr>
          <w:rFonts w:asciiTheme="minorHAnsi" w:hAnsiTheme="minorHAnsi"/>
          <w:sz w:val="24"/>
          <w:szCs w:val="24"/>
          <w:u w:val="single"/>
        </w:rPr>
      </w:pPr>
      <w:r w:rsidRPr="00BE6C79">
        <w:rPr>
          <w:rFonts w:asciiTheme="minorHAnsi" w:eastAsia="Arial" w:hAnsiTheme="minorHAnsi" w:cs="Arial"/>
          <w:b/>
          <w:sz w:val="24"/>
          <w:szCs w:val="24"/>
          <w:u w:val="single"/>
        </w:rPr>
        <w:t>District Plans</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t>District Strategic Plan</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The San Bernardino Community College District’s mission is to transform lives through the education of our students for the benefit of our diverse communities.  The District’s vision is to be known for student success.</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The District’s four strategic goals are:</w:t>
      </w:r>
    </w:p>
    <w:p w:rsidR="00775E5A" w:rsidRPr="00354717" w:rsidRDefault="00775E5A" w:rsidP="00775E5A">
      <w:pPr>
        <w:numPr>
          <w:ilvl w:val="0"/>
          <w:numId w:val="5"/>
        </w:numPr>
        <w:spacing w:after="0"/>
        <w:ind w:hanging="360"/>
        <w:contextualSpacing/>
        <w:jc w:val="both"/>
        <w:rPr>
          <w:rFonts w:asciiTheme="minorHAnsi" w:eastAsia="Arial" w:hAnsiTheme="minorHAnsi" w:cs="Arial"/>
          <w:sz w:val="24"/>
          <w:szCs w:val="24"/>
        </w:rPr>
      </w:pPr>
      <w:r w:rsidRPr="00354717">
        <w:rPr>
          <w:rFonts w:asciiTheme="minorHAnsi" w:eastAsia="Arial" w:hAnsiTheme="minorHAnsi" w:cs="Arial"/>
          <w:sz w:val="24"/>
          <w:szCs w:val="24"/>
        </w:rPr>
        <w:t>Student Success - Provide the programs and services necessary to enable all students to achieve their educational and career goals.</w:t>
      </w:r>
    </w:p>
    <w:p w:rsidR="00775E5A" w:rsidRPr="00354717" w:rsidRDefault="00775E5A" w:rsidP="00775E5A">
      <w:pPr>
        <w:numPr>
          <w:ilvl w:val="0"/>
          <w:numId w:val="5"/>
        </w:numPr>
        <w:spacing w:after="0"/>
        <w:ind w:hanging="360"/>
        <w:contextualSpacing/>
        <w:jc w:val="both"/>
        <w:rPr>
          <w:rFonts w:asciiTheme="minorHAnsi" w:eastAsia="Arial" w:hAnsiTheme="minorHAnsi" w:cs="Arial"/>
          <w:sz w:val="24"/>
          <w:szCs w:val="24"/>
        </w:rPr>
      </w:pPr>
      <w:r w:rsidRPr="00354717">
        <w:rPr>
          <w:rFonts w:asciiTheme="minorHAnsi" w:eastAsia="Arial" w:hAnsiTheme="minorHAnsi" w:cs="Arial"/>
          <w:sz w:val="24"/>
          <w:szCs w:val="24"/>
        </w:rPr>
        <w:t>Enrollment and Access - Increase access to higher education for the population in our region.</w:t>
      </w:r>
    </w:p>
    <w:p w:rsidR="00775E5A" w:rsidRPr="00354717" w:rsidRDefault="00775E5A" w:rsidP="00775E5A">
      <w:pPr>
        <w:numPr>
          <w:ilvl w:val="0"/>
          <w:numId w:val="5"/>
        </w:numPr>
        <w:spacing w:after="0"/>
        <w:ind w:hanging="360"/>
        <w:contextualSpacing/>
        <w:jc w:val="both"/>
        <w:rPr>
          <w:rFonts w:asciiTheme="minorHAnsi" w:eastAsia="Arial" w:hAnsiTheme="minorHAnsi" w:cs="Arial"/>
          <w:sz w:val="24"/>
          <w:szCs w:val="24"/>
        </w:rPr>
      </w:pPr>
      <w:r w:rsidRPr="00354717">
        <w:rPr>
          <w:rFonts w:asciiTheme="minorHAnsi" w:eastAsia="Arial" w:hAnsiTheme="minorHAnsi" w:cs="Arial"/>
          <w:sz w:val="24"/>
          <w:szCs w:val="24"/>
        </w:rPr>
        <w:t>Partnerships of Strategic Importance - Invest in strategic relationships and collaborate with partners in higher education, PK-12 education, business and workforce development, government, and other community organizations.</w:t>
      </w:r>
    </w:p>
    <w:p w:rsidR="00775E5A" w:rsidRPr="00354717" w:rsidRDefault="00775E5A" w:rsidP="00775E5A">
      <w:pPr>
        <w:numPr>
          <w:ilvl w:val="0"/>
          <w:numId w:val="5"/>
        </w:numPr>
        <w:spacing w:after="0"/>
        <w:ind w:hanging="360"/>
        <w:contextualSpacing/>
        <w:jc w:val="both"/>
        <w:rPr>
          <w:rFonts w:asciiTheme="minorHAnsi" w:eastAsia="Arial" w:hAnsiTheme="minorHAnsi" w:cs="Arial"/>
          <w:sz w:val="24"/>
          <w:szCs w:val="24"/>
        </w:rPr>
      </w:pPr>
      <w:r w:rsidRPr="00354717">
        <w:rPr>
          <w:rFonts w:asciiTheme="minorHAnsi" w:eastAsia="Arial" w:hAnsiTheme="minorHAnsi" w:cs="Arial"/>
          <w:sz w:val="24"/>
          <w:szCs w:val="24"/>
        </w:rPr>
        <w:t>District Operational Systems - Improve the District systems to increase administrative and operational efficiency and effectiveness.</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t>Staffing Plan</w:t>
      </w:r>
    </w:p>
    <w:p w:rsidR="00775E5A" w:rsidRPr="00354717" w:rsidRDefault="00775E5A" w:rsidP="00775E5A">
      <w:pPr>
        <w:spacing w:after="0"/>
        <w:jc w:val="both"/>
        <w:rPr>
          <w:rFonts w:asciiTheme="minorHAnsi" w:hAnsiTheme="minorHAnsi"/>
          <w:color w:val="FF0000"/>
          <w:sz w:val="24"/>
          <w:szCs w:val="24"/>
        </w:rPr>
      </w:pPr>
      <w:r w:rsidRPr="00354717">
        <w:rPr>
          <w:rFonts w:asciiTheme="minorHAnsi" w:hAnsiTheme="minorHAnsi"/>
          <w:color w:val="FF0000"/>
          <w:sz w:val="24"/>
          <w:szCs w:val="24"/>
        </w:rPr>
        <w:t>Add content</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Pr>
          <w:rFonts w:asciiTheme="minorHAnsi" w:eastAsia="Arial" w:hAnsiTheme="minorHAnsi" w:cs="Arial"/>
          <w:b/>
          <w:sz w:val="24"/>
          <w:szCs w:val="24"/>
        </w:rPr>
        <w:t xml:space="preserve">District </w:t>
      </w:r>
      <w:r w:rsidRPr="00354717">
        <w:rPr>
          <w:rFonts w:asciiTheme="minorHAnsi" w:eastAsia="Arial" w:hAnsiTheme="minorHAnsi" w:cs="Arial"/>
          <w:b/>
          <w:sz w:val="24"/>
          <w:szCs w:val="24"/>
        </w:rPr>
        <w:t xml:space="preserve">Technology </w:t>
      </w:r>
      <w:r>
        <w:rPr>
          <w:rFonts w:asciiTheme="minorHAnsi" w:eastAsia="Arial" w:hAnsiTheme="minorHAnsi" w:cs="Arial"/>
          <w:b/>
          <w:sz w:val="24"/>
          <w:szCs w:val="24"/>
        </w:rPr>
        <w:t xml:space="preserve">Strategic </w:t>
      </w:r>
      <w:r w:rsidRPr="00354717">
        <w:rPr>
          <w:rFonts w:asciiTheme="minorHAnsi" w:eastAsia="Arial" w:hAnsiTheme="minorHAnsi" w:cs="Arial"/>
          <w:b/>
          <w:sz w:val="24"/>
          <w:szCs w:val="24"/>
        </w:rPr>
        <w:t>Plan</w:t>
      </w:r>
    </w:p>
    <w:p w:rsidR="00775E5A" w:rsidRDefault="00775E5A" w:rsidP="00775E5A">
      <w:pPr>
        <w:spacing w:after="0"/>
        <w:rPr>
          <w:rFonts w:asciiTheme="minorHAnsi" w:hAnsiTheme="minorHAnsi"/>
          <w:sz w:val="24"/>
          <w:szCs w:val="24"/>
        </w:rPr>
      </w:pPr>
      <w:r>
        <w:rPr>
          <w:rFonts w:asciiTheme="minorHAnsi" w:hAnsiTheme="minorHAnsi"/>
          <w:sz w:val="24"/>
          <w:szCs w:val="24"/>
        </w:rPr>
        <w:t xml:space="preserve">The District Technology Strategic Plan represents a macro view of the District’s technology needs.  It provides a long range view that anticipates the emerging technological needs of the Colleges and District entities and requires an understanding and accommodation for federal, </w:t>
      </w:r>
      <w:r w:rsidR="00FB6DA3">
        <w:rPr>
          <w:rFonts w:asciiTheme="minorHAnsi" w:hAnsiTheme="minorHAnsi"/>
          <w:sz w:val="24"/>
          <w:szCs w:val="24"/>
        </w:rPr>
        <w:t>state</w:t>
      </w:r>
      <w:r>
        <w:rPr>
          <w:rFonts w:asciiTheme="minorHAnsi" w:hAnsiTheme="minorHAnsi"/>
          <w:sz w:val="24"/>
          <w:szCs w:val="24"/>
        </w:rPr>
        <w:t xml:space="preserve">, and local requirements.  </w:t>
      </w:r>
    </w:p>
    <w:p w:rsidR="00775E5A" w:rsidRDefault="00775E5A" w:rsidP="00775E5A">
      <w:pPr>
        <w:spacing w:after="0"/>
        <w:rPr>
          <w:rFonts w:asciiTheme="minorHAnsi" w:hAnsiTheme="minorHAnsi"/>
          <w:sz w:val="24"/>
          <w:szCs w:val="24"/>
        </w:rPr>
      </w:pPr>
      <w:r>
        <w:rPr>
          <w:rFonts w:asciiTheme="minorHAnsi" w:hAnsiTheme="minorHAnsi"/>
          <w:sz w:val="24"/>
          <w:szCs w:val="24"/>
        </w:rPr>
        <w:t xml:space="preserve"> </w:t>
      </w:r>
    </w:p>
    <w:p w:rsidR="00775E5A" w:rsidRDefault="00775E5A" w:rsidP="00775E5A">
      <w:pPr>
        <w:spacing w:after="0"/>
        <w:rPr>
          <w:rFonts w:asciiTheme="minorHAnsi" w:hAnsiTheme="minorHAnsi"/>
          <w:sz w:val="24"/>
          <w:szCs w:val="24"/>
        </w:rPr>
      </w:pPr>
      <w:r>
        <w:rPr>
          <w:rFonts w:asciiTheme="minorHAnsi" w:hAnsiTheme="minorHAnsi"/>
          <w:sz w:val="24"/>
          <w:szCs w:val="24"/>
        </w:rPr>
        <w:t>Goals:</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 xml:space="preserve">Develop policies, communication tools, and training requiring all district materials </w:t>
      </w:r>
      <w:proofErr w:type="gramStart"/>
      <w:r>
        <w:rPr>
          <w:rFonts w:asciiTheme="minorHAnsi" w:hAnsiTheme="minorHAnsi"/>
          <w:sz w:val="24"/>
          <w:szCs w:val="24"/>
        </w:rPr>
        <w:t>meet</w:t>
      </w:r>
      <w:proofErr w:type="gramEnd"/>
      <w:r>
        <w:rPr>
          <w:rFonts w:asciiTheme="minorHAnsi" w:hAnsiTheme="minorHAnsi"/>
          <w:sz w:val="24"/>
          <w:szCs w:val="24"/>
        </w:rPr>
        <w:t xml:space="preserve"> accessibility requirements.</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Work closely with the colleges and other district entities to cohesively maintain and support multiple forms and methods of communication.</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Work with collegial consultation groups to ensure broad input on decisions regarding the adoption and implementation of applications and technologies.</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Explore options to fund and sustain instructional technology initiatives.</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lastRenderedPageBreak/>
        <w:t xml:space="preserve">Implement mobile technologies that facilitate access and interaction with </w:t>
      </w:r>
      <w:proofErr w:type="spellStart"/>
      <w:r>
        <w:rPr>
          <w:rFonts w:asciiTheme="minorHAnsi" w:hAnsiTheme="minorHAnsi"/>
          <w:sz w:val="24"/>
          <w:szCs w:val="24"/>
        </w:rPr>
        <w:t>campsu</w:t>
      </w:r>
      <w:proofErr w:type="spellEnd"/>
      <w:r>
        <w:rPr>
          <w:rFonts w:asciiTheme="minorHAnsi" w:hAnsiTheme="minorHAnsi"/>
          <w:sz w:val="24"/>
          <w:szCs w:val="24"/>
        </w:rPr>
        <w:t xml:space="preserve"> and district resources.</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Ensure updated and robust infrastructure to provide a fully integrated and cohesive computing environment.</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Develop fully integrated resolution oriented technical support services with digitized online customer service.</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Develop and expand face-to-face and online training programs and services to empower and improve employee competence and performance.</w:t>
      </w:r>
    </w:p>
    <w:p w:rsidR="00775E5A" w:rsidRDefault="00775E5A" w:rsidP="00E30CA3">
      <w:pPr>
        <w:pStyle w:val="ListParagraph"/>
        <w:numPr>
          <w:ilvl w:val="0"/>
          <w:numId w:val="11"/>
        </w:numPr>
        <w:spacing w:after="0"/>
        <w:rPr>
          <w:rFonts w:asciiTheme="minorHAnsi" w:hAnsiTheme="minorHAnsi"/>
          <w:sz w:val="24"/>
          <w:szCs w:val="24"/>
        </w:rPr>
      </w:pPr>
      <w:r>
        <w:rPr>
          <w:rFonts w:asciiTheme="minorHAnsi" w:hAnsiTheme="minorHAnsi"/>
          <w:sz w:val="24"/>
          <w:szCs w:val="24"/>
        </w:rPr>
        <w:t>Improve district systems to increase administrative and operational efficiency and effectiveness with an emphasis on student records, human resources, facilities, technology, financial systems, and other workflow operational systems.</w:t>
      </w:r>
    </w:p>
    <w:p w:rsidR="00775E5A" w:rsidRPr="00354717" w:rsidRDefault="00775E5A" w:rsidP="00775E5A">
      <w:pPr>
        <w:spacing w:after="0"/>
        <w:rPr>
          <w:rFonts w:asciiTheme="minorHAnsi" w:hAnsiTheme="minorHAnsi"/>
          <w:sz w:val="24"/>
          <w:szCs w:val="24"/>
        </w:rPr>
      </w:pP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b/>
          <w:sz w:val="24"/>
          <w:szCs w:val="24"/>
        </w:rPr>
        <w:t>Long-Range Financial Plan</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sz w:val="24"/>
          <w:szCs w:val="24"/>
        </w:rPr>
        <w:t xml:space="preserve">The SBCCD Resource Allocation Model provides a comprehensive, annual forecast of college revenues and planned expenditures. The model is based on final budget amounts calculated through the developmental budget process. The Resource Allocation Model (RAM) is compiled utilizing the Board Directives, RAM Guidelines, and RAM Assumptions. These three factors are reviewed each year to ensure applicability to Strategic Plan, Program Review, and Accreditation. In order to create a multi-year Resource Allocation Model, SBCCD takes into account economic conditions and funding projections. Furthermore, SBCCD makes assumptions based on all the information received from the California Community College Chancellor’s Office, the Legislative Analyst’s Office, and Schools Services of California. SBCCD uses the following assumptions to formulate the multi-year Resource Allocation Model: FTES funding, cost of living adjustments (COLA), projected FTES funded growth, </w:t>
      </w:r>
      <w:r w:rsidR="00FB6DA3">
        <w:rPr>
          <w:rFonts w:asciiTheme="minorHAnsi" w:eastAsia="Arial" w:hAnsiTheme="minorHAnsi" w:cs="Arial"/>
          <w:sz w:val="24"/>
          <w:szCs w:val="24"/>
        </w:rPr>
        <w:t>state</w:t>
      </w:r>
      <w:r w:rsidRPr="00354717">
        <w:rPr>
          <w:rFonts w:asciiTheme="minorHAnsi" w:eastAsia="Arial" w:hAnsiTheme="minorHAnsi" w:cs="Arial"/>
          <w:sz w:val="24"/>
          <w:szCs w:val="24"/>
        </w:rPr>
        <w:t xml:space="preserve"> revenue shortfall, FTES Target Growth,  local  revenue projections, anticipated District assessments, site budget assumptions (including step and column increases, benefits, and inflation for Object Codes 4000’s-6000’s). </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sz w:val="24"/>
          <w:szCs w:val="24"/>
        </w:rPr>
        <w:t xml:space="preserve">CHC utilizes the District’s long-range, resource allocation model to develop projected college funding and enrollments. </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b/>
          <w:sz w:val="24"/>
          <w:szCs w:val="24"/>
        </w:rPr>
        <w:t>Enrollment Management Plan</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sz w:val="24"/>
          <w:szCs w:val="24"/>
        </w:rPr>
        <w:t xml:space="preserve">The SBCCD Enrollment Management Plan is </w:t>
      </w:r>
      <w:proofErr w:type="gramStart"/>
      <w:r w:rsidRPr="00354717">
        <w:rPr>
          <w:rFonts w:asciiTheme="minorHAnsi" w:eastAsia="Arial" w:hAnsiTheme="minorHAnsi" w:cs="Arial"/>
          <w:sz w:val="24"/>
          <w:szCs w:val="24"/>
        </w:rPr>
        <w:t>a three-year plan designed to support and enhance</w:t>
      </w:r>
      <w:proofErr w:type="gramEnd"/>
      <w:r w:rsidRPr="00354717">
        <w:rPr>
          <w:rFonts w:asciiTheme="minorHAnsi" w:eastAsia="Arial" w:hAnsiTheme="minorHAnsi" w:cs="Arial"/>
          <w:sz w:val="24"/>
          <w:szCs w:val="24"/>
        </w:rPr>
        <w:t xml:space="preserve"> the District’s mission, goals and objectives. It is intended to align with the District Strategic Plan and be updated accordingly. The Enrollment Management Plan outlines strategies, based on relevant data, that help the colleges develop enrollment targets, and strategies for reaching those targets. The strategies and targets developed will consider the District’s resource allocation model and be focused on student success.</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sz w:val="24"/>
          <w:szCs w:val="24"/>
        </w:rPr>
        <w:lastRenderedPageBreak/>
        <w:t>The SBCCD Enrollment Management Plan is designed to support the college plans by providing resources, coordinating efforts, increasing communication, and sharing data in order to help the colleges achieve their goals.</w:t>
      </w:r>
    </w:p>
    <w:p w:rsidR="00775E5A" w:rsidRPr="00354717" w:rsidRDefault="00775E5A" w:rsidP="00775E5A">
      <w:pPr>
        <w:jc w:val="both"/>
        <w:rPr>
          <w:rFonts w:asciiTheme="minorHAnsi" w:hAnsiTheme="minorHAnsi"/>
          <w:sz w:val="24"/>
          <w:szCs w:val="24"/>
        </w:rPr>
      </w:pPr>
      <w:r w:rsidRPr="00354717">
        <w:rPr>
          <w:rFonts w:asciiTheme="minorHAnsi" w:eastAsia="Arial" w:hAnsiTheme="minorHAnsi" w:cs="Arial"/>
          <w:sz w:val="24"/>
          <w:szCs w:val="24"/>
        </w:rPr>
        <w:t>The following goals are included in the SBCCD Enrollment Management Plan</w:t>
      </w:r>
      <w:r>
        <w:rPr>
          <w:rFonts w:asciiTheme="minorHAnsi" w:eastAsia="Arial" w:hAnsiTheme="minorHAnsi" w:cs="Arial"/>
          <w:sz w:val="24"/>
          <w:szCs w:val="24"/>
        </w:rPr>
        <w:t>:</w:t>
      </w:r>
    </w:p>
    <w:p w:rsidR="00775E5A" w:rsidRPr="002D07AB" w:rsidRDefault="00775E5A" w:rsidP="00E30CA3">
      <w:pPr>
        <w:pStyle w:val="ListParagraph"/>
        <w:numPr>
          <w:ilvl w:val="0"/>
          <w:numId w:val="12"/>
        </w:numPr>
        <w:jc w:val="both"/>
        <w:rPr>
          <w:rFonts w:asciiTheme="minorHAnsi" w:hAnsiTheme="minorHAnsi"/>
          <w:sz w:val="24"/>
          <w:szCs w:val="24"/>
        </w:rPr>
      </w:pPr>
      <w:r w:rsidRPr="002D07AB">
        <w:rPr>
          <w:rFonts w:asciiTheme="minorHAnsi" w:eastAsia="Arial" w:hAnsiTheme="minorHAnsi" w:cs="Arial"/>
          <w:sz w:val="24"/>
          <w:szCs w:val="24"/>
        </w:rPr>
        <w:t>Goal 1: Provide the data and information SBCCD and colleges need to inform enrollment management decision-making.</w:t>
      </w:r>
    </w:p>
    <w:p w:rsidR="00775E5A" w:rsidRPr="002D07AB" w:rsidRDefault="00775E5A" w:rsidP="00E30CA3">
      <w:pPr>
        <w:pStyle w:val="ListParagraph"/>
        <w:numPr>
          <w:ilvl w:val="0"/>
          <w:numId w:val="12"/>
        </w:numPr>
        <w:jc w:val="both"/>
        <w:rPr>
          <w:rFonts w:asciiTheme="minorHAnsi" w:hAnsiTheme="minorHAnsi"/>
          <w:sz w:val="24"/>
          <w:szCs w:val="24"/>
        </w:rPr>
      </w:pPr>
      <w:r w:rsidRPr="002D07AB">
        <w:rPr>
          <w:rFonts w:asciiTheme="minorHAnsi" w:eastAsia="Arial" w:hAnsiTheme="minorHAnsi" w:cs="Arial"/>
          <w:sz w:val="24"/>
          <w:szCs w:val="24"/>
        </w:rPr>
        <w:t>Goal 2: Develop recommendations to support the achievement of SBCCD and colleges’ enrollment management goals.</w:t>
      </w:r>
    </w:p>
    <w:p w:rsidR="00775E5A" w:rsidRPr="00BE6C79" w:rsidRDefault="00775E5A" w:rsidP="00775E5A">
      <w:pPr>
        <w:jc w:val="both"/>
        <w:rPr>
          <w:rFonts w:asciiTheme="minorHAnsi" w:hAnsiTheme="minorHAnsi"/>
          <w:sz w:val="24"/>
          <w:szCs w:val="24"/>
          <w:u w:val="single"/>
        </w:rPr>
      </w:pPr>
      <w:r w:rsidRPr="00BE6C79">
        <w:rPr>
          <w:rFonts w:asciiTheme="minorHAnsi" w:eastAsia="Arial" w:hAnsiTheme="minorHAnsi" w:cs="Arial"/>
          <w:b/>
          <w:sz w:val="24"/>
          <w:szCs w:val="24"/>
          <w:u w:val="single"/>
        </w:rPr>
        <w:t>Campus Plans</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t xml:space="preserve">Student Success </w:t>
      </w:r>
      <w:r>
        <w:rPr>
          <w:rFonts w:asciiTheme="minorHAnsi" w:eastAsia="Arial" w:hAnsiTheme="minorHAnsi" w:cs="Arial"/>
          <w:b/>
          <w:sz w:val="24"/>
          <w:szCs w:val="24"/>
        </w:rPr>
        <w:t xml:space="preserve">and Support Program </w:t>
      </w:r>
      <w:r w:rsidRPr="00354717">
        <w:rPr>
          <w:rFonts w:asciiTheme="minorHAnsi" w:eastAsia="Arial" w:hAnsiTheme="minorHAnsi" w:cs="Arial"/>
          <w:b/>
          <w:sz w:val="24"/>
          <w:szCs w:val="24"/>
        </w:rPr>
        <w:t>Plan</w:t>
      </w:r>
    </w:p>
    <w:p w:rsidR="00775E5A" w:rsidRPr="00354717" w:rsidRDefault="00775E5A" w:rsidP="00775E5A">
      <w:pPr>
        <w:spacing w:after="0"/>
        <w:rPr>
          <w:rFonts w:asciiTheme="minorHAnsi" w:hAnsiTheme="minorHAnsi"/>
          <w:sz w:val="24"/>
          <w:szCs w:val="24"/>
        </w:rPr>
      </w:pPr>
      <w:r>
        <w:rPr>
          <w:rFonts w:asciiTheme="minorHAnsi" w:hAnsiTheme="minorHAnsi"/>
          <w:sz w:val="24"/>
          <w:szCs w:val="24"/>
        </w:rPr>
        <w:t xml:space="preserve">The purpose of the Student Success and Support Program (SSSP) is to outline and document how the college will provide SSSP services to students.  The goal of this program is to increase student access and success by providing students with core SSSP services to assist them achieving their educational goals. </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Pr>
          <w:rFonts w:asciiTheme="minorHAnsi" w:eastAsia="Arial" w:hAnsiTheme="minorHAnsi" w:cs="Arial"/>
          <w:b/>
          <w:sz w:val="24"/>
          <w:szCs w:val="24"/>
        </w:rPr>
        <w:t xml:space="preserve">Student </w:t>
      </w:r>
      <w:r w:rsidRPr="00354717">
        <w:rPr>
          <w:rFonts w:asciiTheme="minorHAnsi" w:eastAsia="Arial" w:hAnsiTheme="minorHAnsi" w:cs="Arial"/>
          <w:b/>
          <w:sz w:val="24"/>
          <w:szCs w:val="24"/>
        </w:rPr>
        <w:t>Equity Plan</w:t>
      </w:r>
    </w:p>
    <w:p w:rsidR="00775E5A" w:rsidRPr="00354717" w:rsidRDefault="00775E5A" w:rsidP="00775E5A">
      <w:pPr>
        <w:spacing w:after="0"/>
        <w:rPr>
          <w:rFonts w:asciiTheme="minorHAnsi" w:hAnsiTheme="minorHAnsi"/>
          <w:sz w:val="24"/>
          <w:szCs w:val="24"/>
        </w:rPr>
      </w:pPr>
      <w:r>
        <w:rPr>
          <w:rFonts w:asciiTheme="minorHAnsi" w:eastAsia="Arial" w:hAnsiTheme="minorHAnsi" w:cs="Arial"/>
          <w:sz w:val="24"/>
          <w:szCs w:val="24"/>
        </w:rPr>
        <w:t xml:space="preserve">The Student Equity Plan outlines the activities and interventions that are aimed at eliminating disproportionate impact among identified groups.  </w:t>
      </w:r>
      <w:r w:rsidRPr="00354717">
        <w:rPr>
          <w:rFonts w:asciiTheme="minorHAnsi" w:eastAsia="Arial" w:hAnsiTheme="minorHAnsi" w:cs="Arial"/>
          <w:sz w:val="24"/>
          <w:szCs w:val="24"/>
        </w:rPr>
        <w:t xml:space="preserve">Over the past five years, great strides have been made in increasing our enrollment, especially among the traditionally less advantaged groups. </w:t>
      </w:r>
      <w:r>
        <w:rPr>
          <w:rFonts w:asciiTheme="minorHAnsi" w:eastAsia="Arial" w:hAnsiTheme="minorHAnsi" w:cs="Arial"/>
          <w:sz w:val="24"/>
          <w:szCs w:val="24"/>
        </w:rPr>
        <w:t xml:space="preserve"> The goals are to:</w:t>
      </w:r>
    </w:p>
    <w:p w:rsidR="00775E5A" w:rsidRPr="00BE6C79" w:rsidRDefault="00775E5A" w:rsidP="00E30CA3">
      <w:pPr>
        <w:pStyle w:val="ListParagraph"/>
        <w:numPr>
          <w:ilvl w:val="0"/>
          <w:numId w:val="13"/>
        </w:numPr>
        <w:jc w:val="both"/>
        <w:rPr>
          <w:rFonts w:asciiTheme="minorHAnsi" w:eastAsia="Arial" w:hAnsiTheme="minorHAnsi" w:cs="Arial"/>
          <w:sz w:val="24"/>
          <w:szCs w:val="24"/>
        </w:rPr>
      </w:pPr>
      <w:r>
        <w:rPr>
          <w:rFonts w:asciiTheme="minorHAnsi" w:eastAsia="Arial" w:hAnsiTheme="minorHAnsi" w:cs="Arial"/>
          <w:sz w:val="24"/>
          <w:szCs w:val="24"/>
        </w:rPr>
        <w:t>Serve a higher proposition of veterans, the disabled, 30-34 and 35-39 year olds in the primary service area.</w:t>
      </w:r>
    </w:p>
    <w:p w:rsidR="00775E5A" w:rsidRDefault="00775E5A" w:rsidP="00E30CA3">
      <w:pPr>
        <w:pStyle w:val="ListParagraph"/>
        <w:numPr>
          <w:ilvl w:val="0"/>
          <w:numId w:val="13"/>
        </w:numPr>
        <w:jc w:val="both"/>
        <w:rPr>
          <w:rFonts w:asciiTheme="minorHAnsi" w:eastAsia="Arial" w:hAnsiTheme="minorHAnsi" w:cs="Arial"/>
          <w:sz w:val="24"/>
          <w:szCs w:val="24"/>
        </w:rPr>
      </w:pPr>
      <w:r>
        <w:rPr>
          <w:rFonts w:asciiTheme="minorHAnsi" w:eastAsia="Arial" w:hAnsiTheme="minorHAnsi" w:cs="Arial"/>
          <w:sz w:val="24"/>
          <w:szCs w:val="24"/>
        </w:rPr>
        <w:t>Improve the course completion rate of CHC foster youth students.</w:t>
      </w:r>
    </w:p>
    <w:p w:rsidR="00775E5A" w:rsidRDefault="00775E5A" w:rsidP="00E30CA3">
      <w:pPr>
        <w:pStyle w:val="ListParagraph"/>
        <w:numPr>
          <w:ilvl w:val="0"/>
          <w:numId w:val="13"/>
        </w:numPr>
        <w:jc w:val="both"/>
        <w:rPr>
          <w:rFonts w:asciiTheme="minorHAnsi" w:eastAsia="Arial" w:hAnsiTheme="minorHAnsi" w:cs="Arial"/>
          <w:sz w:val="24"/>
          <w:szCs w:val="24"/>
        </w:rPr>
      </w:pPr>
      <w:r>
        <w:rPr>
          <w:rFonts w:asciiTheme="minorHAnsi" w:eastAsia="Arial" w:hAnsiTheme="minorHAnsi" w:cs="Arial"/>
          <w:sz w:val="24"/>
          <w:szCs w:val="24"/>
        </w:rPr>
        <w:t>Increase the English throughput rate of African American and Hispanic students and increase the math throughput rate of African American and economically disadvantaged students.</w:t>
      </w:r>
    </w:p>
    <w:p w:rsidR="00775E5A" w:rsidRDefault="00775E5A" w:rsidP="00E30CA3">
      <w:pPr>
        <w:pStyle w:val="ListParagraph"/>
        <w:numPr>
          <w:ilvl w:val="0"/>
          <w:numId w:val="13"/>
        </w:numPr>
        <w:jc w:val="both"/>
        <w:rPr>
          <w:rFonts w:asciiTheme="minorHAnsi" w:eastAsia="Arial" w:hAnsiTheme="minorHAnsi" w:cs="Arial"/>
          <w:sz w:val="24"/>
          <w:szCs w:val="24"/>
        </w:rPr>
      </w:pPr>
      <w:r>
        <w:rPr>
          <w:rFonts w:asciiTheme="minorHAnsi" w:eastAsia="Arial" w:hAnsiTheme="minorHAnsi" w:cs="Arial"/>
          <w:sz w:val="24"/>
          <w:szCs w:val="24"/>
        </w:rPr>
        <w:t>Increase the degree/certificate completion rate of males, African American, Hispanic, Native American, and students 20-34 years old.</w:t>
      </w:r>
    </w:p>
    <w:p w:rsidR="00775E5A" w:rsidRPr="00BE6C79" w:rsidRDefault="00775E5A" w:rsidP="00E30CA3">
      <w:pPr>
        <w:pStyle w:val="ListParagraph"/>
        <w:numPr>
          <w:ilvl w:val="0"/>
          <w:numId w:val="13"/>
        </w:numPr>
        <w:jc w:val="both"/>
        <w:rPr>
          <w:rFonts w:asciiTheme="minorHAnsi" w:eastAsia="Arial" w:hAnsiTheme="minorHAnsi" w:cs="Arial"/>
          <w:sz w:val="24"/>
          <w:szCs w:val="24"/>
        </w:rPr>
      </w:pPr>
      <w:r>
        <w:rPr>
          <w:rFonts w:asciiTheme="minorHAnsi" w:eastAsia="Arial" w:hAnsiTheme="minorHAnsi" w:cs="Arial"/>
          <w:sz w:val="24"/>
          <w:szCs w:val="24"/>
        </w:rPr>
        <w:t>Increase the transfer rate of African American, Hispanic, and students 20-24 years old.</w:t>
      </w:r>
    </w:p>
    <w:p w:rsidR="00775E5A" w:rsidRDefault="00775E5A"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Default="00C92E6F" w:rsidP="00775E5A">
      <w:pPr>
        <w:spacing w:after="0"/>
        <w:jc w:val="both"/>
        <w:rPr>
          <w:rFonts w:asciiTheme="minorHAnsi" w:hAnsiTheme="minorHAnsi"/>
          <w:sz w:val="24"/>
          <w:szCs w:val="24"/>
        </w:rPr>
      </w:pPr>
    </w:p>
    <w:p w:rsidR="00C92E6F" w:rsidRPr="00354717" w:rsidRDefault="00C92E6F"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lastRenderedPageBreak/>
        <w:t>Distance Education Plan</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Distance Education Vision</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 xml:space="preserve">Students have access to a dynamic, high-quality and comprehensive education that advances student success in an engaging, student-centered online learning environment. </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Distance Education Mission</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In support of Crafton Hills College’s Mission, Vision and Values, the CHC Distance Education program engages students through quality online instruction and support services as an alternative approach to advancing the educational, career, and personal goals of our students.</w:t>
      </w:r>
    </w:p>
    <w:p w:rsidR="00775E5A" w:rsidRPr="00354717" w:rsidRDefault="00775E5A" w:rsidP="00775E5A">
      <w:pPr>
        <w:spacing w:after="0"/>
        <w:ind w:left="72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 xml:space="preserve">The CHC Distance Education plan (DE Plan) represents the institution’s commitment to nurturing the Distance Education program, to ensuring the success of all distance education students, to fostering and promoting innovation, excellence, and best practice for Distance Education and providing Crafton Hills College faculty with assistance, leadership, expertise, and training in emerging Distance Education teaching and learning strategies and technologies. </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 xml:space="preserve">The 2016-2020 Distance Education Student Success Initiatives build on the prior DE successes and focus on deploying best practices including regular and ongoing faculty and student support to ensure student success through continuous quality improvement of the DE program. </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 xml:space="preserve">The CHC Distance Education Plan 2016-2020 initiatives also support the College’s EMP strategic directions and goals. The initiatives and related goals and objectives will be reviewed annually and updated as needed to support emerging </w:t>
      </w:r>
      <w:r w:rsidR="00FB6DA3">
        <w:rPr>
          <w:rFonts w:asciiTheme="minorHAnsi" w:eastAsia="Arial" w:hAnsiTheme="minorHAnsi" w:cs="Arial"/>
          <w:sz w:val="24"/>
          <w:szCs w:val="24"/>
        </w:rPr>
        <w:t>state</w:t>
      </w:r>
      <w:r w:rsidRPr="00354717">
        <w:rPr>
          <w:rFonts w:asciiTheme="minorHAnsi" w:eastAsia="Arial" w:hAnsiTheme="minorHAnsi" w:cs="Arial"/>
          <w:sz w:val="24"/>
          <w:szCs w:val="24"/>
        </w:rPr>
        <w:t xml:space="preserve"> and national standards as well as new technological trends. </w:t>
      </w:r>
    </w:p>
    <w:p w:rsidR="00775E5A" w:rsidRPr="00354717" w:rsidRDefault="00775E5A" w:rsidP="00775E5A">
      <w:pPr>
        <w:spacing w:after="0"/>
        <w:jc w:val="both"/>
        <w:rPr>
          <w:rFonts w:asciiTheme="minorHAnsi" w:hAnsiTheme="minorHAnsi"/>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sz w:val="24"/>
          <w:szCs w:val="24"/>
        </w:rPr>
        <w:t>The college wide adoption of this revised plan serves as an acknowledgement by the CHC Administrators, faculty and staff that these initiatives will promote student success and quality of instruction in Distance Education.</w:t>
      </w:r>
    </w:p>
    <w:p w:rsidR="00775E5A" w:rsidRPr="00354717" w:rsidRDefault="00775E5A" w:rsidP="00775E5A">
      <w:pPr>
        <w:spacing w:after="0"/>
        <w:jc w:val="both"/>
        <w:rPr>
          <w:rFonts w:asciiTheme="minorHAnsi" w:hAnsiTheme="minorHAnsi"/>
          <w:sz w:val="24"/>
          <w:szCs w:val="24"/>
        </w:rPr>
      </w:pPr>
    </w:p>
    <w:p w:rsidR="00775E5A" w:rsidRPr="00BE6C79" w:rsidRDefault="00775E5A" w:rsidP="00775E5A">
      <w:pPr>
        <w:rPr>
          <w:rFonts w:asciiTheme="minorHAnsi" w:hAnsiTheme="minorHAnsi"/>
          <w:b/>
          <w:sz w:val="24"/>
          <w:szCs w:val="24"/>
        </w:rPr>
      </w:pPr>
      <w:r w:rsidRPr="00BE6C79">
        <w:rPr>
          <w:rFonts w:asciiTheme="minorHAnsi" w:hAnsiTheme="minorHAnsi"/>
          <w:b/>
          <w:sz w:val="24"/>
          <w:szCs w:val="24"/>
        </w:rPr>
        <w:t>Enrollment Management Plan</w:t>
      </w:r>
    </w:p>
    <w:p w:rsidR="00775E5A" w:rsidRDefault="00775E5A" w:rsidP="00775E5A">
      <w:pPr>
        <w:spacing w:after="0"/>
        <w:jc w:val="both"/>
        <w:rPr>
          <w:rFonts w:asciiTheme="minorHAnsi" w:hAnsiTheme="minorHAnsi"/>
          <w:sz w:val="24"/>
          <w:szCs w:val="24"/>
        </w:rPr>
      </w:pPr>
      <w:proofErr w:type="gramStart"/>
      <w:r w:rsidRPr="00354717">
        <w:rPr>
          <w:rFonts w:asciiTheme="minorHAnsi" w:hAnsiTheme="minorHAnsi"/>
          <w:sz w:val="24"/>
          <w:szCs w:val="24"/>
        </w:rPr>
        <w:t>Crafton Hills College Enrollment Management Plan Summary.</w:t>
      </w:r>
      <w:proofErr w:type="gramEnd"/>
      <w:r w:rsidRPr="00354717">
        <w:rPr>
          <w:rFonts w:asciiTheme="minorHAnsi" w:hAnsiTheme="minorHAnsi"/>
          <w:sz w:val="24"/>
          <w:szCs w:val="24"/>
        </w:rPr>
        <w:t xml:space="preserve"> Crafton is currently working on revising and updating its Enrollment Management Plan. The purpose of Crafton’s Enrollment Management Plan is to address the recruitment, admission, retention, and success of students. The overall goal of the committee is to develop processes and strategies to predict and manage enrollment at the campus and program level. To achieve the above referenced purpose, specific goals have been developed that address specific facets of enrollment management, each aligned with the goals of CHC’s Educational Master Plan: </w:t>
      </w:r>
    </w:p>
    <w:p w:rsidR="00775E5A" w:rsidRPr="00BE6C79" w:rsidRDefault="00775E5A" w:rsidP="00E30CA3">
      <w:pPr>
        <w:pStyle w:val="ListParagraph"/>
        <w:numPr>
          <w:ilvl w:val="0"/>
          <w:numId w:val="14"/>
        </w:numPr>
        <w:spacing w:after="0"/>
        <w:jc w:val="both"/>
        <w:rPr>
          <w:rFonts w:asciiTheme="minorHAnsi" w:eastAsia="Arial" w:hAnsiTheme="minorHAnsi" w:cs="Arial"/>
          <w:b/>
          <w:sz w:val="24"/>
          <w:szCs w:val="24"/>
        </w:rPr>
      </w:pPr>
      <w:r w:rsidRPr="00BE6C79">
        <w:rPr>
          <w:rFonts w:asciiTheme="minorHAnsi" w:hAnsiTheme="minorHAnsi"/>
          <w:sz w:val="24"/>
          <w:szCs w:val="24"/>
        </w:rPr>
        <w:t xml:space="preserve">Goal 1: Develop an evidence-based Enrollment Management Plan. </w:t>
      </w:r>
    </w:p>
    <w:p w:rsidR="00775E5A" w:rsidRPr="00BE6C79" w:rsidRDefault="00775E5A" w:rsidP="00E30CA3">
      <w:pPr>
        <w:pStyle w:val="ListParagraph"/>
        <w:numPr>
          <w:ilvl w:val="0"/>
          <w:numId w:val="14"/>
        </w:numPr>
        <w:spacing w:after="0"/>
        <w:jc w:val="both"/>
        <w:rPr>
          <w:rFonts w:asciiTheme="minorHAnsi" w:eastAsia="Arial" w:hAnsiTheme="minorHAnsi" w:cs="Arial"/>
          <w:b/>
          <w:sz w:val="24"/>
          <w:szCs w:val="24"/>
        </w:rPr>
      </w:pPr>
      <w:r w:rsidRPr="00BE6C79">
        <w:rPr>
          <w:rFonts w:asciiTheme="minorHAnsi" w:hAnsiTheme="minorHAnsi"/>
          <w:sz w:val="24"/>
          <w:szCs w:val="24"/>
        </w:rPr>
        <w:t xml:space="preserve">Goal 2: Develop processes and strategies to attract and retain students from initial contact through goal completion. </w:t>
      </w:r>
    </w:p>
    <w:p w:rsidR="00775E5A" w:rsidRPr="001A17B8" w:rsidRDefault="00775E5A" w:rsidP="00E30CA3">
      <w:pPr>
        <w:pStyle w:val="ListParagraph"/>
        <w:numPr>
          <w:ilvl w:val="0"/>
          <w:numId w:val="14"/>
        </w:numPr>
        <w:spacing w:after="0"/>
        <w:jc w:val="both"/>
        <w:rPr>
          <w:rFonts w:asciiTheme="minorHAnsi" w:eastAsia="Arial" w:hAnsiTheme="minorHAnsi" w:cs="Arial"/>
          <w:b/>
          <w:sz w:val="24"/>
          <w:szCs w:val="24"/>
        </w:rPr>
      </w:pPr>
      <w:r w:rsidRPr="00BE6C79">
        <w:rPr>
          <w:rFonts w:asciiTheme="minorHAnsi" w:hAnsiTheme="minorHAnsi"/>
          <w:sz w:val="24"/>
          <w:szCs w:val="24"/>
        </w:rPr>
        <w:lastRenderedPageBreak/>
        <w:t xml:space="preserve">Goal 3: Identify and implement strategies to reach college-wide goals for certificate and degree completion. </w:t>
      </w:r>
    </w:p>
    <w:p w:rsidR="00775E5A" w:rsidRPr="001A17B8" w:rsidRDefault="00775E5A" w:rsidP="00E30CA3">
      <w:pPr>
        <w:pStyle w:val="ListParagraph"/>
        <w:numPr>
          <w:ilvl w:val="0"/>
          <w:numId w:val="14"/>
        </w:numPr>
        <w:spacing w:after="0"/>
        <w:jc w:val="both"/>
        <w:rPr>
          <w:rFonts w:asciiTheme="minorHAnsi" w:eastAsia="Arial" w:hAnsiTheme="minorHAnsi" w:cs="Arial"/>
          <w:b/>
          <w:sz w:val="24"/>
          <w:szCs w:val="24"/>
        </w:rPr>
      </w:pPr>
      <w:r w:rsidRPr="00BE6C79">
        <w:rPr>
          <w:rFonts w:asciiTheme="minorHAnsi" w:hAnsiTheme="minorHAnsi"/>
          <w:sz w:val="24"/>
          <w:szCs w:val="24"/>
        </w:rPr>
        <w:t xml:space="preserve">Goal 4: Develop strategies to effectively prepare students for transfer and to increase the CHC transfer rate. </w:t>
      </w:r>
    </w:p>
    <w:p w:rsidR="00775E5A" w:rsidRPr="001A17B8" w:rsidRDefault="00775E5A" w:rsidP="00E30CA3">
      <w:pPr>
        <w:pStyle w:val="ListParagraph"/>
        <w:numPr>
          <w:ilvl w:val="0"/>
          <w:numId w:val="14"/>
        </w:numPr>
        <w:spacing w:after="0"/>
        <w:jc w:val="both"/>
        <w:rPr>
          <w:rFonts w:asciiTheme="minorHAnsi" w:eastAsia="Arial" w:hAnsiTheme="minorHAnsi" w:cs="Arial"/>
          <w:b/>
          <w:sz w:val="24"/>
          <w:szCs w:val="24"/>
        </w:rPr>
      </w:pPr>
      <w:r w:rsidRPr="00BE6C79">
        <w:rPr>
          <w:rFonts w:asciiTheme="minorHAnsi" w:hAnsiTheme="minorHAnsi"/>
          <w:sz w:val="24"/>
          <w:szCs w:val="24"/>
        </w:rPr>
        <w:t xml:space="preserve">Goal 5: Develop strategies to ensure effective levels of instructional productivity and efficiency while maintaining high quality instruction. </w:t>
      </w:r>
    </w:p>
    <w:p w:rsidR="00775E5A" w:rsidRDefault="00775E5A" w:rsidP="00775E5A">
      <w:pPr>
        <w:spacing w:after="0"/>
        <w:jc w:val="both"/>
        <w:rPr>
          <w:rFonts w:asciiTheme="minorHAnsi" w:eastAsia="Arial" w:hAnsiTheme="minorHAnsi" w:cs="Arial"/>
          <w:b/>
          <w:sz w:val="24"/>
          <w:szCs w:val="24"/>
        </w:rPr>
      </w:pP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t>Planning and Program Review Themes</w:t>
      </w:r>
    </w:p>
    <w:p w:rsidR="00775E5A" w:rsidRPr="001A17B8" w:rsidRDefault="00775E5A" w:rsidP="00775E5A">
      <w:pPr>
        <w:jc w:val="both"/>
        <w:rPr>
          <w:rFonts w:asciiTheme="minorHAnsi" w:hAnsiTheme="minorHAnsi"/>
          <w:color w:val="FF0000"/>
          <w:sz w:val="24"/>
          <w:szCs w:val="24"/>
        </w:rPr>
      </w:pPr>
      <w:r w:rsidRPr="001A17B8">
        <w:rPr>
          <w:rFonts w:asciiTheme="minorHAnsi" w:hAnsiTheme="minorHAnsi"/>
          <w:color w:val="FF0000"/>
          <w:sz w:val="24"/>
          <w:szCs w:val="24"/>
        </w:rPr>
        <w:t>Add content</w:t>
      </w:r>
    </w:p>
    <w:p w:rsidR="00775E5A" w:rsidRPr="00354717" w:rsidRDefault="00775E5A" w:rsidP="00775E5A">
      <w:pPr>
        <w:spacing w:after="0"/>
        <w:jc w:val="both"/>
        <w:rPr>
          <w:rFonts w:asciiTheme="minorHAnsi" w:hAnsiTheme="minorHAnsi"/>
          <w:sz w:val="24"/>
          <w:szCs w:val="24"/>
        </w:rPr>
      </w:pPr>
      <w:r w:rsidRPr="00354717">
        <w:rPr>
          <w:rFonts w:asciiTheme="minorHAnsi" w:eastAsia="Arial" w:hAnsiTheme="minorHAnsi" w:cs="Arial"/>
          <w:b/>
          <w:sz w:val="24"/>
          <w:szCs w:val="24"/>
        </w:rPr>
        <w:t>Facilities Master Plan</w:t>
      </w:r>
    </w:p>
    <w:p w:rsidR="00775E5A" w:rsidRPr="001A17B8" w:rsidRDefault="00775E5A" w:rsidP="00775E5A">
      <w:pPr>
        <w:jc w:val="both"/>
        <w:rPr>
          <w:rFonts w:asciiTheme="minorHAnsi" w:hAnsiTheme="minorHAnsi"/>
          <w:color w:val="FF0000"/>
          <w:sz w:val="24"/>
          <w:szCs w:val="24"/>
        </w:rPr>
      </w:pPr>
      <w:r w:rsidRPr="001A17B8">
        <w:rPr>
          <w:rFonts w:asciiTheme="minorHAnsi" w:hAnsiTheme="minorHAnsi"/>
          <w:color w:val="FF0000"/>
          <w:sz w:val="24"/>
          <w:szCs w:val="24"/>
        </w:rPr>
        <w:t>Add content</w:t>
      </w:r>
    </w:p>
    <w:p w:rsidR="00775E5A" w:rsidRPr="00354717" w:rsidRDefault="00775E5A" w:rsidP="00775E5A">
      <w:pPr>
        <w:jc w:val="both"/>
        <w:rPr>
          <w:rFonts w:asciiTheme="minorHAnsi" w:hAnsiTheme="minorHAnsi"/>
          <w:sz w:val="24"/>
          <w:szCs w:val="24"/>
        </w:rPr>
      </w:pPr>
      <w:r>
        <w:rPr>
          <w:rFonts w:asciiTheme="minorHAnsi" w:eastAsia="Arial" w:hAnsiTheme="minorHAnsi" w:cs="Arial"/>
          <w:b/>
          <w:sz w:val="24"/>
          <w:szCs w:val="24"/>
        </w:rPr>
        <w:t xml:space="preserve">Foundation Strategic Plan </w:t>
      </w:r>
      <w:r w:rsidRPr="00354717">
        <w:rPr>
          <w:rFonts w:asciiTheme="minorHAnsi" w:eastAsia="Arial" w:hAnsiTheme="minorHAnsi" w:cs="Arial"/>
          <w:b/>
          <w:sz w:val="24"/>
          <w:szCs w:val="24"/>
        </w:rPr>
        <w:t xml:space="preserve"> </w:t>
      </w:r>
    </w:p>
    <w:p w:rsidR="00775E5A" w:rsidRPr="00354717" w:rsidRDefault="00775E5A" w:rsidP="00775E5A">
      <w:pPr>
        <w:rPr>
          <w:rFonts w:asciiTheme="minorHAnsi" w:hAnsiTheme="minorHAnsi"/>
          <w:sz w:val="24"/>
          <w:szCs w:val="24"/>
        </w:rPr>
      </w:pPr>
      <w:r w:rsidRPr="00354717">
        <w:rPr>
          <w:rFonts w:asciiTheme="minorHAnsi" w:eastAsia="Arial" w:hAnsiTheme="minorHAnsi" w:cs="Arial"/>
          <w:sz w:val="24"/>
          <w:szCs w:val="24"/>
        </w:rPr>
        <w:t xml:space="preserve">Crafton Hills College provides quality instruction and support services that allow our students, many of whom face serious obstacles to completion, to pursue and achieve their educational goals. We are extremely proud to be the pathway to social and economic advancement for many who would otherwise not have the opportunity to pursue a college education. The mission of the Foundation is to enhance educational excellence at Crafton Hills College. Funds received provide direct financial support to students through grants and scholarships, improve programs and services at the College, and support the vocational and academic disciplines which best serve the needs of students and the community. The CHC Foundation has been instrumental in providing financial support to students and helping underwrite programs and activities at the College that cannot be funded through other means. </w:t>
      </w:r>
    </w:p>
    <w:p w:rsidR="00775E5A" w:rsidRPr="00354717" w:rsidRDefault="00775E5A" w:rsidP="00775E5A">
      <w:pPr>
        <w:rPr>
          <w:rFonts w:asciiTheme="minorHAnsi" w:hAnsiTheme="minorHAnsi"/>
          <w:sz w:val="24"/>
          <w:szCs w:val="24"/>
        </w:rPr>
      </w:pPr>
      <w:r w:rsidRPr="00354717">
        <w:rPr>
          <w:rFonts w:asciiTheme="minorHAnsi" w:eastAsia="Arial" w:hAnsiTheme="minorHAnsi" w:cs="Arial"/>
          <w:sz w:val="24"/>
          <w:szCs w:val="24"/>
        </w:rPr>
        <w:t>The CHC Foundation Strategic Plan spans three years and includes three major goals; enhance student programs and services, increase financial contributions, and respond to the evolving needs of the college. The Foundation is dedicated to supporting the college by developing strategies to help bolster the college when, where, and how the college needs it most. Through objectives such as recognizing student achievement, supporting student outreach and engagement, and identifying and nurturing individuals who share the college vision, the Foundation will continue to suppor</w:t>
      </w:r>
      <w:r>
        <w:rPr>
          <w:rFonts w:asciiTheme="minorHAnsi" w:eastAsia="Arial" w:hAnsiTheme="minorHAnsi" w:cs="Arial"/>
          <w:sz w:val="24"/>
          <w:szCs w:val="24"/>
        </w:rPr>
        <w:t xml:space="preserve">t the dreams of students so </w:t>
      </w:r>
      <w:r w:rsidRPr="00354717">
        <w:rPr>
          <w:rFonts w:asciiTheme="minorHAnsi" w:eastAsia="Arial" w:hAnsiTheme="minorHAnsi" w:cs="Arial"/>
          <w:sz w:val="24"/>
          <w:szCs w:val="24"/>
        </w:rPr>
        <w:t>they can have meaningful and productive lives in their communities and chosen professions.</w:t>
      </w: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rPr>
          <w:b/>
          <w:color w:val="00823B"/>
        </w:rPr>
      </w:pPr>
    </w:p>
    <w:p w:rsidR="00A85FF0" w:rsidRDefault="00A85FF0" w:rsidP="00A85FF0">
      <w:pPr>
        <w:pStyle w:val="NoSpacing"/>
        <w:jc w:val="both"/>
      </w:pPr>
    </w:p>
    <w:p w:rsidR="00AD1889" w:rsidRDefault="00136838" w:rsidP="00A816B4">
      <w:pPr>
        <w:pStyle w:val="Heading1"/>
        <w:numPr>
          <w:ilvl w:val="0"/>
          <w:numId w:val="2"/>
        </w:numPr>
      </w:pPr>
      <w:bookmarkStart w:id="4" w:name="h.2et92p0" w:colFirst="0" w:colLast="0"/>
      <w:bookmarkEnd w:id="4"/>
      <w:r>
        <w:lastRenderedPageBreak/>
        <w:t>Planning Environment</w:t>
      </w:r>
    </w:p>
    <w:p w:rsidR="00AD1889" w:rsidRPr="00354717" w:rsidRDefault="00136838">
      <w:pPr>
        <w:rPr>
          <w:rFonts w:asciiTheme="minorHAnsi" w:hAnsiTheme="minorHAnsi"/>
          <w:i/>
          <w:color w:val="0070C0"/>
          <w:sz w:val="24"/>
          <w:szCs w:val="24"/>
        </w:rPr>
      </w:pPr>
      <w:r w:rsidRPr="00354717">
        <w:rPr>
          <w:rFonts w:asciiTheme="minorHAnsi" w:hAnsiTheme="minorHAnsi"/>
          <w:i/>
          <w:color w:val="0070C0"/>
          <w:sz w:val="24"/>
          <w:szCs w:val="24"/>
        </w:rPr>
        <w:t xml:space="preserve">This section provides exhaustive graphical and tabular representations of information from our external and internal environmental scans used in the decision-making processes that led to the identified Strategic Directions and objectives. Section culminates in SWOT analysis and </w:t>
      </w:r>
      <w:r w:rsidR="00FB6DA3">
        <w:rPr>
          <w:rFonts w:asciiTheme="minorHAnsi" w:hAnsiTheme="minorHAnsi"/>
          <w:i/>
          <w:color w:val="0070C0"/>
          <w:sz w:val="24"/>
          <w:szCs w:val="24"/>
        </w:rPr>
        <w:t>state</w:t>
      </w:r>
      <w:r w:rsidRPr="00354717">
        <w:rPr>
          <w:rFonts w:asciiTheme="minorHAnsi" w:hAnsiTheme="minorHAnsi"/>
          <w:i/>
          <w:color w:val="0070C0"/>
          <w:sz w:val="24"/>
          <w:szCs w:val="24"/>
        </w:rPr>
        <w:t>d implications/trends.</w:t>
      </w:r>
    </w:p>
    <w:p w:rsidR="00775E5A" w:rsidRDefault="0044767C" w:rsidP="00775E5A">
      <w:pPr>
        <w:pStyle w:val="NoSpacing"/>
        <w:jc w:val="both"/>
      </w:pPr>
      <w:r>
        <w:t>T</w:t>
      </w:r>
      <w:r w:rsidR="00775E5A">
        <w:t>he internal scan of Crafton Hills College (CHC) is an opportunity to assess demographics and other characteristics of the student and employee population based on historical data.  The data is utilized to identify and understand patterns and trends within CHC to inform institutional planning decisions.  Internal scan data presented in this plan will analyze student and employee data on an overall College level.</w:t>
      </w:r>
    </w:p>
    <w:p w:rsidR="00775E5A" w:rsidRDefault="00775E5A" w:rsidP="00775E5A">
      <w:pPr>
        <w:pStyle w:val="NoSpacing"/>
        <w:jc w:val="both"/>
      </w:pPr>
    </w:p>
    <w:p w:rsidR="00775E5A" w:rsidRPr="00F008C2" w:rsidRDefault="00775E5A" w:rsidP="00775E5A">
      <w:pPr>
        <w:pStyle w:val="NoSpacing"/>
        <w:jc w:val="both"/>
        <w:rPr>
          <w:b/>
          <w:color w:val="00823B"/>
        </w:rPr>
      </w:pPr>
      <w:r>
        <w:rPr>
          <w:b/>
          <w:color w:val="00823B"/>
        </w:rPr>
        <w:t xml:space="preserve">Student </w:t>
      </w:r>
      <w:r w:rsidRPr="00F008C2">
        <w:rPr>
          <w:b/>
          <w:color w:val="00823B"/>
        </w:rPr>
        <w:t>Demographics</w:t>
      </w:r>
    </w:p>
    <w:p w:rsidR="00775E5A" w:rsidRDefault="00775E5A" w:rsidP="00775E5A">
      <w:pPr>
        <w:pStyle w:val="NoSpacing"/>
        <w:jc w:val="both"/>
      </w:pPr>
      <w:r>
        <w:t>From 2010-11 to 2014-15, students in the 20-24 age group accounted for an average of 37.4% of unduplicated enrollment (2,918 students), while students age 19 and under accounted for an average of 32.43% of unduplicated enrollment (2,531 students), and students 25-29 years old accounted for an average of 13% of unduplicated enrollment (1,015 students).  The only age group to increase in enrollment during the five academic years from 2010-11 to 2014-15 was students 20-24 years old (128 students).  The age group that experienced the most decline during the same time period was from students age 19 or younger (-427 students).</w:t>
      </w:r>
    </w:p>
    <w:p w:rsidR="00775E5A" w:rsidRDefault="00775E5A" w:rsidP="00775E5A">
      <w:pPr>
        <w:pStyle w:val="NoSpacing"/>
        <w:jc w:val="both"/>
      </w:pPr>
    </w:p>
    <w:p w:rsidR="00775E5A" w:rsidRPr="00A14D31" w:rsidRDefault="00775E5A" w:rsidP="00775E5A">
      <w:pPr>
        <w:pStyle w:val="NoSpacing"/>
        <w:jc w:val="center"/>
        <w:rPr>
          <w:b/>
          <w:color w:val="00823B"/>
        </w:rPr>
      </w:pPr>
      <w:r w:rsidRPr="00A14D31">
        <w:rPr>
          <w:b/>
          <w:color w:val="00823B"/>
        </w:rPr>
        <w:t>Exhibit 2.XX Unduplicated Enrollment by Age Group</w:t>
      </w:r>
    </w:p>
    <w:p w:rsidR="00775E5A" w:rsidRDefault="00775E5A" w:rsidP="00775E5A">
      <w:pPr>
        <w:pStyle w:val="NoSpacing"/>
        <w:ind w:left="-720" w:right="-720"/>
        <w:jc w:val="both"/>
      </w:pPr>
      <w:r>
        <w:rPr>
          <w:noProof/>
          <w:lang w:eastAsia="en-US"/>
        </w:rPr>
        <w:drawing>
          <wp:inline distT="0" distB="0" distL="0" distR="0">
            <wp:extent cx="6838950" cy="33432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775E5A">
      <w:pPr>
        <w:pStyle w:val="NoSpacing"/>
        <w:jc w:val="both"/>
      </w:pPr>
      <w:r>
        <w:t xml:space="preserve">From 2010-11 to 2014-15, Hispanic students at CHC increased from accounting for 33.6% of unduplicated enrollment to 44% of enrollment, an increase of 612 students.  Conversely, Caucasian students decreased from 50.2% of students to 39.4% of unduplicated enrollment, a decrease of 1,205 </w:t>
      </w:r>
      <w:r>
        <w:lastRenderedPageBreak/>
        <w:t>students.  During the same time, Asian students decreased by 55 students, while students identifying themselves of two or more races increased by 71 students.</w:t>
      </w:r>
    </w:p>
    <w:p w:rsidR="00C92E6F" w:rsidRDefault="00C92E6F" w:rsidP="00A85FF0">
      <w:pPr>
        <w:pStyle w:val="NoSpacing"/>
        <w:rPr>
          <w:b/>
          <w:color w:val="00823B"/>
        </w:rPr>
      </w:pPr>
    </w:p>
    <w:p w:rsidR="00775E5A" w:rsidRDefault="00775E5A" w:rsidP="00775E5A">
      <w:pPr>
        <w:pStyle w:val="NoSpacing"/>
        <w:jc w:val="center"/>
        <w:rPr>
          <w:b/>
          <w:color w:val="00823B"/>
        </w:rPr>
      </w:pPr>
      <w:r w:rsidRPr="00FD0C7D">
        <w:rPr>
          <w:b/>
          <w:color w:val="00823B"/>
        </w:rPr>
        <w:t>Exhibit 2.XX Unduplicated Enrollment by Race/Ethnicity</w:t>
      </w:r>
    </w:p>
    <w:p w:rsidR="00775E5A" w:rsidRDefault="00775E5A" w:rsidP="00775E5A">
      <w:pPr>
        <w:pStyle w:val="NoSpacing"/>
        <w:ind w:left="-720" w:right="-720"/>
        <w:jc w:val="center"/>
        <w:rPr>
          <w:b/>
          <w:color w:val="00823B"/>
        </w:rPr>
      </w:pPr>
      <w:r w:rsidRPr="00FD0C7D">
        <w:rPr>
          <w:b/>
          <w:noProof/>
          <w:color w:val="00823B"/>
          <w:lang w:eastAsia="en-US"/>
        </w:rPr>
        <w:drawing>
          <wp:inline distT="0" distB="0" distL="0" distR="0">
            <wp:extent cx="6781800" cy="33623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775E5A">
      <w:pPr>
        <w:pStyle w:val="NoSpacing"/>
        <w:jc w:val="both"/>
      </w:pPr>
      <w:r>
        <w:t xml:space="preserve">From 2010-11 to 2014-15, females accounted for an average of 51.8% of unduplicated enrollment (4,406 students), while males accounted for an average of 48.1% of unduplicated enrollment (3,752 students).  During the same time, females decreased by 219 students (-4.9%) while males decreased by 447 students (-10.6%) </w:t>
      </w:r>
    </w:p>
    <w:p w:rsidR="00775E5A" w:rsidRDefault="00775E5A" w:rsidP="00775E5A">
      <w:pPr>
        <w:pStyle w:val="NoSpacing"/>
        <w:jc w:val="both"/>
      </w:pPr>
    </w:p>
    <w:p w:rsidR="00775E5A" w:rsidRPr="00EF18A0" w:rsidRDefault="00775E5A" w:rsidP="00775E5A">
      <w:pPr>
        <w:pStyle w:val="NoSpacing"/>
        <w:jc w:val="center"/>
        <w:rPr>
          <w:b/>
          <w:color w:val="00823B"/>
        </w:rPr>
      </w:pPr>
      <w:r w:rsidRPr="00EF18A0">
        <w:rPr>
          <w:b/>
          <w:color w:val="00823B"/>
        </w:rPr>
        <w:t>Exhibit 2.XX Unduplicated Enrollment by Gender</w:t>
      </w:r>
    </w:p>
    <w:p w:rsidR="00775E5A" w:rsidRDefault="00775E5A" w:rsidP="00775E5A">
      <w:pPr>
        <w:pStyle w:val="NoSpacing"/>
        <w:ind w:left="-720" w:right="-720"/>
        <w:rPr>
          <w:b/>
          <w:color w:val="00823B"/>
        </w:rPr>
      </w:pPr>
      <w:r>
        <w:rPr>
          <w:noProof/>
          <w:lang w:eastAsia="en-US"/>
        </w:rPr>
        <w:drawing>
          <wp:inline distT="0" distB="0" distL="0" distR="0">
            <wp:extent cx="6905625" cy="26384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Pr="00C92E6F" w:rsidRDefault="00775E5A" w:rsidP="00C92E6F">
      <w:pPr>
        <w:spacing w:after="0" w:line="240" w:lineRule="auto"/>
        <w:rPr>
          <w:rFonts w:asciiTheme="minorHAnsi" w:eastAsiaTheme="minorEastAsia" w:hAnsiTheme="minorHAnsi" w:cstheme="minorBidi"/>
          <w:b/>
          <w:color w:val="00823B"/>
          <w:lang w:eastAsia="ja-JP"/>
        </w:rPr>
      </w:pPr>
      <w:r w:rsidRPr="00C92E6F">
        <w:rPr>
          <w:rFonts w:asciiTheme="minorHAnsi" w:hAnsiTheme="minorHAnsi"/>
          <w:b/>
          <w:color w:val="00823B"/>
        </w:rPr>
        <w:lastRenderedPageBreak/>
        <w:t>Enrollment Trends</w:t>
      </w:r>
    </w:p>
    <w:p w:rsidR="00775E5A" w:rsidRDefault="00775E5A" w:rsidP="00775E5A">
      <w:pPr>
        <w:pStyle w:val="NoSpacing"/>
        <w:jc w:val="both"/>
      </w:pPr>
      <w:r>
        <w:t xml:space="preserve">The most recent peak enrollment at CHC was during the 2008-09 academic year, when the College enrolled 9,517 students.  From 2008-09 to 2012-13 overall College unduplicated enrollment decreased by 2,421 students (-25.44%).  The decline equates to a 7.08% average annual decrease in enrollment over four academic years.  This decline occurred during a time when the </w:t>
      </w:r>
      <w:proofErr w:type="gramStart"/>
      <w:r w:rsidR="00FB6DA3">
        <w:t>State</w:t>
      </w:r>
      <w:r>
        <w:t>wide</w:t>
      </w:r>
      <w:proofErr w:type="gramEnd"/>
      <w:r>
        <w:t xml:space="preserve"> economy was experiencing the “Great Recession” and California Community Colleges were in the midst of budget cuts and annual budget uncertainty.  More recently, the College has been experiencing an increase in enrollment.  From 2012-13 to 2014-15, unduplicated enrollment increased by 944 students (13.3%).  The increase is equivalent to a 6.44% average annual increase in enrollment over two academic years.  Overall, CHC students account for approximately 30% of District-wide unduplicated enrollment.</w:t>
      </w:r>
    </w:p>
    <w:p w:rsidR="00775E5A" w:rsidRDefault="00775E5A" w:rsidP="00775E5A">
      <w:pPr>
        <w:pStyle w:val="NoSpacing"/>
        <w:jc w:val="both"/>
      </w:pPr>
    </w:p>
    <w:p w:rsidR="00775E5A" w:rsidRDefault="00775E5A" w:rsidP="00775E5A">
      <w:pPr>
        <w:pStyle w:val="NoSpacing"/>
        <w:jc w:val="center"/>
        <w:rPr>
          <w:b/>
          <w:color w:val="00823B"/>
        </w:rPr>
      </w:pPr>
      <w:r w:rsidRPr="00107409">
        <w:rPr>
          <w:b/>
          <w:color w:val="00823B"/>
        </w:rPr>
        <w:t>Exhibit 2.XX Historical Unduplicated Enrollment</w:t>
      </w:r>
    </w:p>
    <w:p w:rsidR="00775E5A" w:rsidRDefault="00775E5A" w:rsidP="00775E5A">
      <w:pPr>
        <w:pStyle w:val="NoSpacing"/>
        <w:ind w:left="-720" w:right="-720"/>
        <w:jc w:val="center"/>
        <w:rPr>
          <w:b/>
          <w:color w:val="00823B"/>
        </w:rPr>
      </w:pPr>
      <w:r w:rsidRPr="00107409">
        <w:rPr>
          <w:b/>
          <w:noProof/>
          <w:color w:val="00823B"/>
          <w:lang w:eastAsia="en-US"/>
        </w:rPr>
        <w:drawing>
          <wp:inline distT="0" distB="0" distL="0" distR="0">
            <wp:extent cx="6686550" cy="28098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775E5A">
      <w:pPr>
        <w:pStyle w:val="NoSpacing"/>
        <w:jc w:val="both"/>
      </w:pPr>
      <w:r>
        <w:t>From 2010-11 to 2014-15, students who enrolled in face-to-face courses only at CHC accounted for an average of 83.5% of unduplicated enrollment (6,515 students).  During the same years, students who only enrolled in online classes accounted for an average of 1.54% of unduplicated enrollment (120 students) and students who only enrolled in hybrid courses accounted for an average of 0.1% of unduplicated enrollment (8 students).  Students who took courses using multiple instructional methods accounted for an average of 14.86% of unduplicated enrollment (1,166 students).</w:t>
      </w:r>
    </w:p>
    <w:p w:rsidR="00775E5A" w:rsidRDefault="00775E5A" w:rsidP="00775E5A">
      <w:pPr>
        <w:pStyle w:val="NoSpacing"/>
        <w:jc w:val="both"/>
      </w:pPr>
    </w:p>
    <w:p w:rsidR="00775E5A" w:rsidRDefault="00775E5A" w:rsidP="00775E5A">
      <w:pPr>
        <w:pStyle w:val="NoSpacing"/>
        <w:jc w:val="both"/>
      </w:pPr>
      <w:r>
        <w:t xml:space="preserve">From 2010-11 to 2014-15, enrollment in face-to-face only courses decreased by 1,261 students (-17%) and hybrid only enrollment decreased by 8 students (-72.7%).  During the same time period, students who only enrolled in online classes increased by 192 students (282.4%) and enrollment in courses with multiple instructional methods increased by 409 students (33.6%).  </w:t>
      </w:r>
    </w:p>
    <w:p w:rsidR="00775E5A" w:rsidRDefault="00775E5A" w:rsidP="00775E5A">
      <w:pPr>
        <w:pStyle w:val="NoSpacing"/>
        <w:jc w:val="both"/>
      </w:pPr>
    </w:p>
    <w:p w:rsidR="00775E5A" w:rsidRDefault="00775E5A" w:rsidP="00775E5A">
      <w:pPr>
        <w:pStyle w:val="NoSpacing"/>
        <w:jc w:val="both"/>
      </w:pPr>
      <w:r>
        <w:t xml:space="preserve">The number and proportion of students enrolling in traditional face-to-face instruction only has been declining and shifting to students utilizing multiple instructional methods for their courses.    </w:t>
      </w:r>
    </w:p>
    <w:p w:rsidR="00775E5A" w:rsidRDefault="00775E5A" w:rsidP="00775E5A">
      <w:pPr>
        <w:pStyle w:val="NoSpacing"/>
        <w:jc w:val="both"/>
      </w:pPr>
    </w:p>
    <w:p w:rsidR="00775E5A" w:rsidRDefault="00775E5A" w:rsidP="00775E5A">
      <w:pPr>
        <w:pStyle w:val="NoSpacing"/>
        <w:jc w:val="both"/>
      </w:pPr>
    </w:p>
    <w:p w:rsidR="00C92E6F" w:rsidRDefault="00C92E6F" w:rsidP="00775E5A">
      <w:pPr>
        <w:pStyle w:val="NoSpacing"/>
        <w:jc w:val="both"/>
      </w:pPr>
    </w:p>
    <w:p w:rsidR="00775E5A" w:rsidRPr="00676B5C" w:rsidRDefault="00775E5A" w:rsidP="00775E5A">
      <w:pPr>
        <w:pStyle w:val="NoSpacing"/>
        <w:jc w:val="center"/>
        <w:rPr>
          <w:b/>
          <w:color w:val="00823B"/>
        </w:rPr>
      </w:pPr>
      <w:r w:rsidRPr="00676B5C">
        <w:rPr>
          <w:b/>
          <w:color w:val="00823B"/>
        </w:rPr>
        <w:lastRenderedPageBreak/>
        <w:t>Exhibit 2.XX Unduplicated Enrollment by Instructional Method</w:t>
      </w:r>
    </w:p>
    <w:p w:rsidR="00775E5A" w:rsidRPr="00107409" w:rsidRDefault="00775E5A" w:rsidP="00775E5A">
      <w:pPr>
        <w:pStyle w:val="NoSpacing"/>
        <w:ind w:left="-720" w:right="-720"/>
        <w:jc w:val="center"/>
        <w:rPr>
          <w:b/>
          <w:color w:val="00823B"/>
        </w:rPr>
      </w:pPr>
      <w:r>
        <w:rPr>
          <w:noProof/>
          <w:lang w:eastAsia="en-US"/>
        </w:rPr>
        <w:drawing>
          <wp:inline distT="0" distB="0" distL="0" distR="0">
            <wp:extent cx="6819900" cy="28289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775E5A">
      <w:pPr>
        <w:pStyle w:val="NoSpacing"/>
        <w:jc w:val="both"/>
      </w:pPr>
      <w:r>
        <w:t>California (CA) residents accounted for an average of 96.42% of unduplicated enrollment at CHC between 2010-11 and 2014-15.  During the same time, unduplicated enrollment of California residents decreased by 671 students (-7.98%).  From 2010-11 to 2014-15, CA non-resident (AB 540) students increased by 33 students (25%) while foreign county resident enrollment at CHC decreased by 13 students (-10.4%).  AB 540 allowed students to qualify for an exemption from paying out-of-</w:t>
      </w:r>
      <w:r w:rsidR="00FB6DA3">
        <w:t>state</w:t>
      </w:r>
      <w:r>
        <w:t xml:space="preserve"> tuition if they met certain criteria.  </w:t>
      </w:r>
    </w:p>
    <w:p w:rsidR="00775E5A" w:rsidRDefault="00775E5A" w:rsidP="00775E5A">
      <w:pPr>
        <w:pStyle w:val="NoSpacing"/>
        <w:jc w:val="both"/>
      </w:pPr>
    </w:p>
    <w:p w:rsidR="00775E5A" w:rsidRPr="00711D9A" w:rsidRDefault="00775E5A" w:rsidP="00775E5A">
      <w:pPr>
        <w:pStyle w:val="NoSpacing"/>
        <w:jc w:val="center"/>
        <w:rPr>
          <w:b/>
          <w:color w:val="00823B"/>
        </w:rPr>
      </w:pPr>
      <w:r w:rsidRPr="00711D9A">
        <w:rPr>
          <w:b/>
          <w:color w:val="00823B"/>
        </w:rPr>
        <w:t>Exhibit 2.XX Unduplicated Enrollment by Residency Status</w:t>
      </w:r>
    </w:p>
    <w:tbl>
      <w:tblPr>
        <w:tblStyle w:val="MediumGrid1-Accent3"/>
        <w:tblW w:w="95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600" w:firstRow="0" w:lastRow="0" w:firstColumn="0" w:lastColumn="0" w:noHBand="1" w:noVBand="1"/>
      </w:tblPr>
      <w:tblGrid>
        <w:gridCol w:w="3165"/>
        <w:gridCol w:w="1260"/>
        <w:gridCol w:w="1260"/>
        <w:gridCol w:w="1260"/>
        <w:gridCol w:w="1350"/>
        <w:gridCol w:w="1260"/>
      </w:tblGrid>
      <w:tr w:rsidR="00775E5A" w:rsidRPr="005C3B35" w:rsidTr="00140EB7">
        <w:trPr>
          <w:trHeight w:val="187"/>
        </w:trPr>
        <w:tc>
          <w:tcPr>
            <w:tcW w:w="3165"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Residency Status</w:t>
            </w:r>
          </w:p>
        </w:tc>
        <w:tc>
          <w:tcPr>
            <w:tcW w:w="1260"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2010-2011</w:t>
            </w:r>
          </w:p>
        </w:tc>
        <w:tc>
          <w:tcPr>
            <w:tcW w:w="1260"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2011-2012</w:t>
            </w:r>
          </w:p>
        </w:tc>
        <w:tc>
          <w:tcPr>
            <w:tcW w:w="1260"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2012-2013</w:t>
            </w:r>
          </w:p>
        </w:tc>
        <w:tc>
          <w:tcPr>
            <w:tcW w:w="1350"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2013-2014</w:t>
            </w:r>
          </w:p>
        </w:tc>
        <w:tc>
          <w:tcPr>
            <w:tcW w:w="1260" w:type="dxa"/>
            <w:shd w:val="clear" w:color="auto" w:fill="525252" w:themeFill="accent3" w:themeFillShade="80"/>
            <w:hideMark/>
          </w:tcPr>
          <w:p w:rsidR="00775E5A" w:rsidRPr="005C3B35" w:rsidRDefault="00775E5A" w:rsidP="00140EB7">
            <w:pPr>
              <w:pStyle w:val="NoSpacing"/>
              <w:jc w:val="center"/>
              <w:rPr>
                <w:b/>
                <w:color w:val="FFFFFF" w:themeColor="background1"/>
              </w:rPr>
            </w:pPr>
            <w:r w:rsidRPr="005C3B35">
              <w:rPr>
                <w:b/>
                <w:color w:val="FFFFFF" w:themeColor="background1"/>
              </w:rPr>
              <w:t>2014-2015</w:t>
            </w:r>
          </w:p>
        </w:tc>
      </w:tr>
      <w:tr w:rsidR="00775E5A" w:rsidRPr="005C3B35" w:rsidTr="00140EB7">
        <w:trPr>
          <w:trHeight w:val="60"/>
        </w:trPr>
        <w:tc>
          <w:tcPr>
            <w:tcW w:w="3165" w:type="dxa"/>
            <w:shd w:val="clear" w:color="auto" w:fill="E6EED5"/>
            <w:hideMark/>
          </w:tcPr>
          <w:p w:rsidR="00775E5A" w:rsidRPr="005C3B35" w:rsidRDefault="00775E5A" w:rsidP="00140EB7">
            <w:pPr>
              <w:pStyle w:val="NoSpacing"/>
              <w:jc w:val="right"/>
            </w:pPr>
            <w:r w:rsidRPr="005C3B35">
              <w:t>CA Resident</w:t>
            </w:r>
          </w:p>
        </w:tc>
        <w:tc>
          <w:tcPr>
            <w:tcW w:w="1260" w:type="dxa"/>
            <w:hideMark/>
          </w:tcPr>
          <w:p w:rsidR="00775E5A" w:rsidRPr="005C3B35" w:rsidRDefault="00775E5A" w:rsidP="00140EB7">
            <w:pPr>
              <w:pStyle w:val="NoSpacing"/>
              <w:jc w:val="center"/>
            </w:pPr>
            <w:r w:rsidRPr="005C3B35">
              <w:t>18,886</w:t>
            </w:r>
          </w:p>
        </w:tc>
        <w:tc>
          <w:tcPr>
            <w:tcW w:w="1260" w:type="dxa"/>
            <w:hideMark/>
          </w:tcPr>
          <w:p w:rsidR="00775E5A" w:rsidRPr="005C3B35" w:rsidRDefault="00775E5A" w:rsidP="00140EB7">
            <w:pPr>
              <w:pStyle w:val="NoSpacing"/>
              <w:jc w:val="center"/>
            </w:pPr>
            <w:r w:rsidRPr="005C3B35">
              <w:t>16,019</w:t>
            </w:r>
          </w:p>
        </w:tc>
        <w:tc>
          <w:tcPr>
            <w:tcW w:w="1260" w:type="dxa"/>
            <w:hideMark/>
          </w:tcPr>
          <w:p w:rsidR="00775E5A" w:rsidRPr="005C3B35" w:rsidRDefault="00775E5A" w:rsidP="00140EB7">
            <w:pPr>
              <w:pStyle w:val="NoSpacing"/>
              <w:jc w:val="center"/>
            </w:pPr>
            <w:r w:rsidRPr="005C3B35">
              <w:t>15,428</w:t>
            </w:r>
          </w:p>
        </w:tc>
        <w:tc>
          <w:tcPr>
            <w:tcW w:w="1350" w:type="dxa"/>
            <w:hideMark/>
          </w:tcPr>
          <w:p w:rsidR="00775E5A" w:rsidRPr="005C3B35" w:rsidRDefault="00775E5A" w:rsidP="00140EB7">
            <w:pPr>
              <w:pStyle w:val="NoSpacing"/>
              <w:jc w:val="center"/>
            </w:pPr>
            <w:r w:rsidRPr="005C3B35">
              <w:t>15,982</w:t>
            </w:r>
          </w:p>
        </w:tc>
        <w:tc>
          <w:tcPr>
            <w:tcW w:w="1260" w:type="dxa"/>
            <w:hideMark/>
          </w:tcPr>
          <w:p w:rsidR="00775E5A" w:rsidRPr="005C3B35" w:rsidRDefault="00775E5A" w:rsidP="00140EB7">
            <w:pPr>
              <w:pStyle w:val="NoSpacing"/>
              <w:jc w:val="center"/>
            </w:pPr>
            <w:r w:rsidRPr="005C3B35">
              <w:t>16,745</w:t>
            </w:r>
          </w:p>
        </w:tc>
      </w:tr>
      <w:tr w:rsidR="00775E5A" w:rsidRPr="005C3B35" w:rsidTr="00140EB7">
        <w:trPr>
          <w:trHeight w:val="160"/>
        </w:trPr>
        <w:tc>
          <w:tcPr>
            <w:tcW w:w="3165" w:type="dxa"/>
            <w:hideMark/>
          </w:tcPr>
          <w:p w:rsidR="00775E5A" w:rsidRPr="005C3B35" w:rsidRDefault="00775E5A" w:rsidP="00140EB7">
            <w:pPr>
              <w:pStyle w:val="NoSpacing"/>
              <w:jc w:val="right"/>
            </w:pPr>
            <w:r w:rsidRPr="005C3B35">
              <w:t>CA Nonresident</w:t>
            </w:r>
          </w:p>
        </w:tc>
        <w:tc>
          <w:tcPr>
            <w:tcW w:w="1260" w:type="dxa"/>
            <w:hideMark/>
          </w:tcPr>
          <w:p w:rsidR="00775E5A" w:rsidRPr="005C3B35" w:rsidRDefault="00775E5A" w:rsidP="00140EB7">
            <w:pPr>
              <w:pStyle w:val="NoSpacing"/>
              <w:jc w:val="center"/>
            </w:pPr>
            <w:r w:rsidRPr="005C3B35">
              <w:t>192</w:t>
            </w:r>
          </w:p>
        </w:tc>
        <w:tc>
          <w:tcPr>
            <w:tcW w:w="1260" w:type="dxa"/>
            <w:hideMark/>
          </w:tcPr>
          <w:p w:rsidR="00775E5A" w:rsidRPr="005C3B35" w:rsidRDefault="00775E5A" w:rsidP="00140EB7">
            <w:pPr>
              <w:pStyle w:val="NoSpacing"/>
              <w:jc w:val="center"/>
            </w:pPr>
            <w:r w:rsidRPr="005C3B35">
              <w:t>242</w:t>
            </w:r>
          </w:p>
        </w:tc>
        <w:tc>
          <w:tcPr>
            <w:tcW w:w="1260" w:type="dxa"/>
            <w:hideMark/>
          </w:tcPr>
          <w:p w:rsidR="00775E5A" w:rsidRPr="005C3B35" w:rsidRDefault="00775E5A" w:rsidP="00140EB7">
            <w:pPr>
              <w:pStyle w:val="NoSpacing"/>
              <w:jc w:val="center"/>
            </w:pPr>
            <w:r w:rsidRPr="005C3B35">
              <w:t>347</w:t>
            </w:r>
          </w:p>
        </w:tc>
        <w:tc>
          <w:tcPr>
            <w:tcW w:w="1350" w:type="dxa"/>
            <w:hideMark/>
          </w:tcPr>
          <w:p w:rsidR="00775E5A" w:rsidRPr="005C3B35" w:rsidRDefault="00775E5A" w:rsidP="00140EB7">
            <w:pPr>
              <w:pStyle w:val="NoSpacing"/>
              <w:jc w:val="center"/>
            </w:pPr>
            <w:r w:rsidRPr="005C3B35">
              <w:t>519</w:t>
            </w:r>
          </w:p>
        </w:tc>
        <w:tc>
          <w:tcPr>
            <w:tcW w:w="1260" w:type="dxa"/>
            <w:hideMark/>
          </w:tcPr>
          <w:p w:rsidR="00775E5A" w:rsidRPr="005C3B35" w:rsidRDefault="00775E5A" w:rsidP="00140EB7">
            <w:pPr>
              <w:pStyle w:val="NoSpacing"/>
              <w:jc w:val="center"/>
            </w:pPr>
            <w:r w:rsidRPr="005C3B35">
              <w:t>643</w:t>
            </w:r>
          </w:p>
        </w:tc>
      </w:tr>
      <w:tr w:rsidR="00775E5A" w:rsidRPr="005C3B35" w:rsidTr="00140EB7">
        <w:trPr>
          <w:trHeight w:val="60"/>
        </w:trPr>
        <w:tc>
          <w:tcPr>
            <w:tcW w:w="3165" w:type="dxa"/>
            <w:hideMark/>
          </w:tcPr>
          <w:p w:rsidR="00775E5A" w:rsidRPr="005C3B35" w:rsidRDefault="00775E5A" w:rsidP="00140EB7">
            <w:pPr>
              <w:pStyle w:val="NoSpacing"/>
              <w:jc w:val="right"/>
            </w:pPr>
            <w:r w:rsidRPr="005C3B35">
              <w:t xml:space="preserve">Out of </w:t>
            </w:r>
            <w:r w:rsidR="00FB6DA3">
              <w:t>State</w:t>
            </w:r>
          </w:p>
        </w:tc>
        <w:tc>
          <w:tcPr>
            <w:tcW w:w="1260" w:type="dxa"/>
            <w:hideMark/>
          </w:tcPr>
          <w:p w:rsidR="00775E5A" w:rsidRPr="005C3B35" w:rsidRDefault="00775E5A" w:rsidP="00140EB7">
            <w:pPr>
              <w:pStyle w:val="NoSpacing"/>
              <w:jc w:val="center"/>
            </w:pPr>
            <w:r w:rsidRPr="005C3B35">
              <w:t>8</w:t>
            </w:r>
          </w:p>
        </w:tc>
        <w:tc>
          <w:tcPr>
            <w:tcW w:w="1260" w:type="dxa"/>
            <w:hideMark/>
          </w:tcPr>
          <w:p w:rsidR="00775E5A" w:rsidRPr="005C3B35" w:rsidRDefault="00775E5A" w:rsidP="00140EB7">
            <w:pPr>
              <w:pStyle w:val="NoSpacing"/>
              <w:jc w:val="center"/>
            </w:pPr>
            <w:r w:rsidRPr="005C3B35">
              <w:t>4</w:t>
            </w:r>
          </w:p>
        </w:tc>
        <w:tc>
          <w:tcPr>
            <w:tcW w:w="1260" w:type="dxa"/>
            <w:hideMark/>
          </w:tcPr>
          <w:p w:rsidR="00775E5A" w:rsidRPr="005C3B35" w:rsidRDefault="00775E5A" w:rsidP="00140EB7">
            <w:pPr>
              <w:pStyle w:val="NoSpacing"/>
              <w:jc w:val="center"/>
            </w:pPr>
            <w:r w:rsidRPr="005C3B35">
              <w:t>3</w:t>
            </w:r>
          </w:p>
        </w:tc>
        <w:tc>
          <w:tcPr>
            <w:tcW w:w="1350" w:type="dxa"/>
            <w:hideMark/>
          </w:tcPr>
          <w:p w:rsidR="00775E5A" w:rsidRPr="005C3B35" w:rsidRDefault="00775E5A" w:rsidP="00140EB7">
            <w:pPr>
              <w:pStyle w:val="NoSpacing"/>
              <w:jc w:val="center"/>
            </w:pPr>
            <w:r w:rsidRPr="005C3B35">
              <w:t>2</w:t>
            </w:r>
          </w:p>
        </w:tc>
        <w:tc>
          <w:tcPr>
            <w:tcW w:w="1260" w:type="dxa"/>
            <w:hideMark/>
          </w:tcPr>
          <w:p w:rsidR="00775E5A" w:rsidRPr="005C3B35" w:rsidRDefault="00775E5A" w:rsidP="00140EB7">
            <w:pPr>
              <w:pStyle w:val="NoSpacing"/>
              <w:jc w:val="center"/>
            </w:pPr>
            <w:r w:rsidRPr="005C3B35">
              <w:t>0</w:t>
            </w:r>
          </w:p>
        </w:tc>
      </w:tr>
      <w:tr w:rsidR="00775E5A" w:rsidRPr="005C3B35" w:rsidTr="00140EB7">
        <w:trPr>
          <w:trHeight w:val="60"/>
        </w:trPr>
        <w:tc>
          <w:tcPr>
            <w:tcW w:w="3165" w:type="dxa"/>
            <w:hideMark/>
          </w:tcPr>
          <w:p w:rsidR="00775E5A" w:rsidRPr="005C3B35" w:rsidRDefault="00775E5A" w:rsidP="00140EB7">
            <w:pPr>
              <w:pStyle w:val="NoSpacing"/>
              <w:jc w:val="right"/>
            </w:pPr>
            <w:r w:rsidRPr="005C3B35">
              <w:t>Foreign Country</w:t>
            </w:r>
          </w:p>
        </w:tc>
        <w:tc>
          <w:tcPr>
            <w:tcW w:w="1260" w:type="dxa"/>
            <w:hideMark/>
          </w:tcPr>
          <w:p w:rsidR="00775E5A" w:rsidRPr="005C3B35" w:rsidRDefault="00775E5A" w:rsidP="00140EB7">
            <w:pPr>
              <w:pStyle w:val="NoSpacing"/>
              <w:jc w:val="center"/>
            </w:pPr>
            <w:r w:rsidRPr="005C3B35">
              <w:t>140</w:t>
            </w:r>
          </w:p>
        </w:tc>
        <w:tc>
          <w:tcPr>
            <w:tcW w:w="1260" w:type="dxa"/>
            <w:hideMark/>
          </w:tcPr>
          <w:p w:rsidR="00775E5A" w:rsidRPr="005C3B35" w:rsidRDefault="00775E5A" w:rsidP="00140EB7">
            <w:pPr>
              <w:pStyle w:val="NoSpacing"/>
              <w:jc w:val="center"/>
            </w:pPr>
            <w:r w:rsidRPr="005C3B35">
              <w:t>161</w:t>
            </w:r>
          </w:p>
        </w:tc>
        <w:tc>
          <w:tcPr>
            <w:tcW w:w="1260" w:type="dxa"/>
            <w:hideMark/>
          </w:tcPr>
          <w:p w:rsidR="00775E5A" w:rsidRPr="005C3B35" w:rsidRDefault="00775E5A" w:rsidP="00140EB7">
            <w:pPr>
              <w:pStyle w:val="NoSpacing"/>
              <w:jc w:val="center"/>
            </w:pPr>
            <w:r w:rsidRPr="005C3B35">
              <w:t>136</w:t>
            </w:r>
          </w:p>
        </w:tc>
        <w:tc>
          <w:tcPr>
            <w:tcW w:w="1350" w:type="dxa"/>
            <w:hideMark/>
          </w:tcPr>
          <w:p w:rsidR="00775E5A" w:rsidRPr="005C3B35" w:rsidRDefault="00775E5A" w:rsidP="00140EB7">
            <w:pPr>
              <w:pStyle w:val="NoSpacing"/>
              <w:jc w:val="center"/>
            </w:pPr>
            <w:r w:rsidRPr="005C3B35">
              <w:t>206</w:t>
            </w:r>
          </w:p>
        </w:tc>
        <w:tc>
          <w:tcPr>
            <w:tcW w:w="1260" w:type="dxa"/>
            <w:hideMark/>
          </w:tcPr>
          <w:p w:rsidR="00775E5A" w:rsidRPr="005C3B35" w:rsidRDefault="00775E5A" w:rsidP="00140EB7">
            <w:pPr>
              <w:pStyle w:val="NoSpacing"/>
              <w:jc w:val="center"/>
            </w:pPr>
            <w:r w:rsidRPr="005C3B35">
              <w:t>234</w:t>
            </w:r>
          </w:p>
        </w:tc>
      </w:tr>
      <w:tr w:rsidR="00775E5A" w:rsidRPr="005C3B35" w:rsidTr="00140EB7">
        <w:trPr>
          <w:trHeight w:val="97"/>
        </w:trPr>
        <w:tc>
          <w:tcPr>
            <w:tcW w:w="3165" w:type="dxa"/>
            <w:hideMark/>
          </w:tcPr>
          <w:p w:rsidR="00775E5A" w:rsidRPr="005C3B35" w:rsidRDefault="00775E5A" w:rsidP="00140EB7">
            <w:pPr>
              <w:pStyle w:val="NoSpacing"/>
              <w:jc w:val="right"/>
            </w:pPr>
            <w:r w:rsidRPr="005C3B35">
              <w:t>Unknown</w:t>
            </w:r>
          </w:p>
        </w:tc>
        <w:tc>
          <w:tcPr>
            <w:tcW w:w="1260" w:type="dxa"/>
            <w:hideMark/>
          </w:tcPr>
          <w:p w:rsidR="00775E5A" w:rsidRPr="005C3B35" w:rsidRDefault="00775E5A" w:rsidP="00140EB7">
            <w:pPr>
              <w:pStyle w:val="NoSpacing"/>
              <w:jc w:val="center"/>
            </w:pPr>
            <w:r w:rsidRPr="005C3B35">
              <w:t>87</w:t>
            </w:r>
          </w:p>
        </w:tc>
        <w:tc>
          <w:tcPr>
            <w:tcW w:w="1260" w:type="dxa"/>
            <w:hideMark/>
          </w:tcPr>
          <w:p w:rsidR="00775E5A" w:rsidRPr="005C3B35" w:rsidRDefault="00775E5A" w:rsidP="00140EB7">
            <w:pPr>
              <w:pStyle w:val="NoSpacing"/>
              <w:jc w:val="center"/>
            </w:pPr>
            <w:r w:rsidRPr="005C3B35">
              <w:t>210</w:t>
            </w:r>
          </w:p>
        </w:tc>
        <w:tc>
          <w:tcPr>
            <w:tcW w:w="1260" w:type="dxa"/>
            <w:hideMark/>
          </w:tcPr>
          <w:p w:rsidR="00775E5A" w:rsidRPr="005C3B35" w:rsidRDefault="00775E5A" w:rsidP="00140EB7">
            <w:pPr>
              <w:pStyle w:val="NoSpacing"/>
              <w:jc w:val="center"/>
            </w:pPr>
            <w:r w:rsidRPr="005C3B35">
              <w:t>60</w:t>
            </w:r>
          </w:p>
        </w:tc>
        <w:tc>
          <w:tcPr>
            <w:tcW w:w="1350" w:type="dxa"/>
            <w:hideMark/>
          </w:tcPr>
          <w:p w:rsidR="00775E5A" w:rsidRPr="005C3B35" w:rsidRDefault="00775E5A" w:rsidP="00140EB7">
            <w:pPr>
              <w:pStyle w:val="NoSpacing"/>
              <w:jc w:val="center"/>
            </w:pPr>
            <w:r w:rsidRPr="005C3B35">
              <w:t>50</w:t>
            </w:r>
          </w:p>
        </w:tc>
        <w:tc>
          <w:tcPr>
            <w:tcW w:w="1260" w:type="dxa"/>
            <w:hideMark/>
          </w:tcPr>
          <w:p w:rsidR="00775E5A" w:rsidRPr="005C3B35" w:rsidRDefault="00775E5A" w:rsidP="00140EB7">
            <w:pPr>
              <w:pStyle w:val="NoSpacing"/>
              <w:jc w:val="center"/>
            </w:pPr>
            <w:r w:rsidRPr="005C3B35">
              <w:t>13</w:t>
            </w:r>
          </w:p>
        </w:tc>
      </w:tr>
      <w:tr w:rsidR="00775E5A" w:rsidRPr="005C3B35" w:rsidTr="00140EB7">
        <w:trPr>
          <w:trHeight w:val="88"/>
        </w:trPr>
        <w:tc>
          <w:tcPr>
            <w:tcW w:w="3165" w:type="dxa"/>
            <w:shd w:val="clear" w:color="auto" w:fill="BFBFBF" w:themeFill="background1" w:themeFillShade="BF"/>
            <w:hideMark/>
          </w:tcPr>
          <w:p w:rsidR="00775E5A" w:rsidRPr="005C3B35" w:rsidRDefault="00775E5A" w:rsidP="00140EB7">
            <w:pPr>
              <w:pStyle w:val="NoSpacing"/>
              <w:jc w:val="right"/>
              <w:rPr>
                <w:b/>
              </w:rPr>
            </w:pPr>
            <w:r w:rsidRPr="005C3B35">
              <w:rPr>
                <w:b/>
              </w:rPr>
              <w:t>Total Unduplicated Enrollment</w:t>
            </w:r>
          </w:p>
        </w:tc>
        <w:tc>
          <w:tcPr>
            <w:tcW w:w="1260" w:type="dxa"/>
            <w:shd w:val="clear" w:color="auto" w:fill="BFBFBF" w:themeFill="background1" w:themeFillShade="BF"/>
            <w:hideMark/>
          </w:tcPr>
          <w:p w:rsidR="00775E5A" w:rsidRPr="005C3B35" w:rsidRDefault="00775E5A" w:rsidP="00140EB7">
            <w:pPr>
              <w:pStyle w:val="NoSpacing"/>
              <w:jc w:val="center"/>
              <w:rPr>
                <w:b/>
              </w:rPr>
            </w:pPr>
            <w:r w:rsidRPr="005C3B35">
              <w:rPr>
                <w:b/>
              </w:rPr>
              <w:t>19,313</w:t>
            </w:r>
          </w:p>
        </w:tc>
        <w:tc>
          <w:tcPr>
            <w:tcW w:w="1260" w:type="dxa"/>
            <w:shd w:val="clear" w:color="auto" w:fill="BFBFBF" w:themeFill="background1" w:themeFillShade="BF"/>
            <w:hideMark/>
          </w:tcPr>
          <w:p w:rsidR="00775E5A" w:rsidRPr="005C3B35" w:rsidRDefault="00775E5A" w:rsidP="00140EB7">
            <w:pPr>
              <w:pStyle w:val="NoSpacing"/>
              <w:jc w:val="center"/>
              <w:rPr>
                <w:b/>
              </w:rPr>
            </w:pPr>
            <w:r w:rsidRPr="005C3B35">
              <w:rPr>
                <w:b/>
              </w:rPr>
              <w:t>16,636</w:t>
            </w:r>
          </w:p>
        </w:tc>
        <w:tc>
          <w:tcPr>
            <w:tcW w:w="1260" w:type="dxa"/>
            <w:shd w:val="clear" w:color="auto" w:fill="BFBFBF" w:themeFill="background1" w:themeFillShade="BF"/>
            <w:hideMark/>
          </w:tcPr>
          <w:p w:rsidR="00775E5A" w:rsidRPr="005C3B35" w:rsidRDefault="00775E5A" w:rsidP="00140EB7">
            <w:pPr>
              <w:pStyle w:val="NoSpacing"/>
              <w:jc w:val="center"/>
              <w:rPr>
                <w:b/>
              </w:rPr>
            </w:pPr>
            <w:r w:rsidRPr="005C3B35">
              <w:rPr>
                <w:b/>
              </w:rPr>
              <w:t>15,974</w:t>
            </w:r>
          </w:p>
        </w:tc>
        <w:tc>
          <w:tcPr>
            <w:tcW w:w="1350" w:type="dxa"/>
            <w:shd w:val="clear" w:color="auto" w:fill="BFBFBF" w:themeFill="background1" w:themeFillShade="BF"/>
            <w:hideMark/>
          </w:tcPr>
          <w:p w:rsidR="00775E5A" w:rsidRPr="005C3B35" w:rsidRDefault="00775E5A" w:rsidP="00140EB7">
            <w:pPr>
              <w:pStyle w:val="NoSpacing"/>
              <w:jc w:val="center"/>
              <w:rPr>
                <w:b/>
              </w:rPr>
            </w:pPr>
            <w:r w:rsidRPr="005C3B35">
              <w:rPr>
                <w:b/>
              </w:rPr>
              <w:t>16,759</w:t>
            </w:r>
          </w:p>
        </w:tc>
        <w:tc>
          <w:tcPr>
            <w:tcW w:w="1260" w:type="dxa"/>
            <w:shd w:val="clear" w:color="auto" w:fill="BFBFBF" w:themeFill="background1" w:themeFillShade="BF"/>
            <w:hideMark/>
          </w:tcPr>
          <w:p w:rsidR="00775E5A" w:rsidRPr="005C3B35" w:rsidRDefault="00775E5A" w:rsidP="00140EB7">
            <w:pPr>
              <w:pStyle w:val="NoSpacing"/>
              <w:jc w:val="center"/>
              <w:rPr>
                <w:b/>
              </w:rPr>
            </w:pPr>
            <w:r w:rsidRPr="005C3B35">
              <w:rPr>
                <w:b/>
              </w:rPr>
              <w:t>17,635</w:t>
            </w:r>
          </w:p>
        </w:tc>
      </w:tr>
    </w:tbl>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775E5A">
      <w:pPr>
        <w:pStyle w:val="NoSpacing"/>
        <w:jc w:val="both"/>
      </w:pPr>
      <w:r>
        <w:t>From 2012-13 to 2014-15, continuing students accounted for an average of 54.5% of unduplicated enrollment (4,119 students), while returning college students accounted for an average of 17.66% of unduplicated enrollment (1,333 students), and first-time college students accounted for an average of 12.76% of unduplicated enrollment (963 students).  During the same three year period, unduplicated enrollment from continuing students increased by 600 students (15.6%) and by 77 students (8.5%) for first-time college students.  However, unduplicated enrollment from under 18 (or K-12 special admit) students decreased by 146 students (-19.9%).</w:t>
      </w:r>
    </w:p>
    <w:p w:rsidR="00775E5A" w:rsidRDefault="00775E5A" w:rsidP="00775E5A">
      <w:pPr>
        <w:pStyle w:val="NoSpacing"/>
      </w:pPr>
    </w:p>
    <w:p w:rsidR="00775E5A" w:rsidRDefault="00775E5A" w:rsidP="00775E5A">
      <w:pPr>
        <w:pStyle w:val="NoSpacing"/>
      </w:pPr>
    </w:p>
    <w:p w:rsidR="00C92E6F" w:rsidRDefault="00C92E6F" w:rsidP="00775E5A">
      <w:pPr>
        <w:pStyle w:val="NoSpacing"/>
      </w:pPr>
    </w:p>
    <w:p w:rsidR="00C92E6F" w:rsidRDefault="00C92E6F" w:rsidP="00775E5A">
      <w:pPr>
        <w:pStyle w:val="NoSpacing"/>
      </w:pPr>
    </w:p>
    <w:p w:rsidR="00775E5A" w:rsidRPr="00586C79" w:rsidRDefault="00775E5A" w:rsidP="00775E5A">
      <w:pPr>
        <w:pStyle w:val="NoSpacing"/>
        <w:jc w:val="center"/>
        <w:rPr>
          <w:b/>
          <w:color w:val="00823B"/>
        </w:rPr>
      </w:pPr>
      <w:r w:rsidRPr="00A14D31">
        <w:rPr>
          <w:b/>
          <w:color w:val="00823B"/>
        </w:rPr>
        <w:lastRenderedPageBreak/>
        <w:t>Exhibit</w:t>
      </w:r>
      <w:r w:rsidRPr="00586C79">
        <w:rPr>
          <w:b/>
          <w:color w:val="00823B"/>
        </w:rPr>
        <w:t xml:space="preserve"> 2.XX Unduplicated Enrollment by Enrollment Status</w:t>
      </w:r>
    </w:p>
    <w:p w:rsidR="00775E5A" w:rsidRDefault="00775E5A" w:rsidP="00775E5A">
      <w:pPr>
        <w:pStyle w:val="NoSpacing"/>
        <w:ind w:left="-720" w:right="-720"/>
        <w:jc w:val="both"/>
      </w:pPr>
      <w:r w:rsidRPr="00586C79">
        <w:rPr>
          <w:noProof/>
          <w:lang w:eastAsia="en-US"/>
        </w:rPr>
        <w:drawing>
          <wp:inline distT="0" distB="0" distL="0" distR="0">
            <wp:extent cx="6915150" cy="29432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pPr>
    </w:p>
    <w:p w:rsidR="00775E5A" w:rsidRPr="00C92E6F" w:rsidRDefault="00775E5A" w:rsidP="00C92E6F">
      <w:pPr>
        <w:jc w:val="both"/>
        <w:rPr>
          <w:rFonts w:asciiTheme="minorHAnsi" w:eastAsiaTheme="minorEastAsia" w:hAnsiTheme="minorHAnsi" w:cstheme="minorBidi"/>
          <w:color w:val="auto"/>
          <w:lang w:eastAsia="ja-JP"/>
        </w:rPr>
      </w:pPr>
      <w:r w:rsidRPr="00C92E6F">
        <w:rPr>
          <w:rFonts w:asciiTheme="minorHAnsi" w:hAnsiTheme="minorHAnsi"/>
        </w:rPr>
        <w:t>Yucaipa High School and Redlands East Valley High School have consistently been among to top 3 feeder high schools for CHC, accounting for 181 and 120 first-time students in fall 2014, respectively.  The College enrolls a high number of students who are home schooled.  In fall 2014, 60 first-time college students at CHC reported that they were home schooled (ranked 5</w:t>
      </w:r>
      <w:r w:rsidRPr="00C92E6F">
        <w:rPr>
          <w:rFonts w:asciiTheme="minorHAnsi" w:hAnsiTheme="minorHAnsi"/>
          <w:vertAlign w:val="superscript"/>
        </w:rPr>
        <w:t>th</w:t>
      </w:r>
      <w:r w:rsidRPr="00C92E6F">
        <w:rPr>
          <w:rFonts w:asciiTheme="minorHAnsi" w:hAnsiTheme="minorHAnsi"/>
        </w:rPr>
        <w:t xml:space="preserve"> amongst feeder high schools).  </w:t>
      </w:r>
    </w:p>
    <w:p w:rsidR="00775E5A" w:rsidRDefault="00775E5A" w:rsidP="00775E5A">
      <w:pPr>
        <w:pStyle w:val="NoSpacing"/>
        <w:jc w:val="both"/>
      </w:pPr>
    </w:p>
    <w:p w:rsidR="00775E5A" w:rsidRDefault="00775E5A" w:rsidP="00775E5A">
      <w:pPr>
        <w:pStyle w:val="NoSpacing"/>
        <w:jc w:val="center"/>
        <w:rPr>
          <w:b/>
          <w:color w:val="00823B"/>
        </w:rPr>
      </w:pPr>
      <w:r w:rsidRPr="00C53780">
        <w:rPr>
          <w:b/>
          <w:color w:val="00823B"/>
        </w:rPr>
        <w:t>Exhibit 2.XX</w:t>
      </w:r>
      <w:r>
        <w:rPr>
          <w:b/>
          <w:color w:val="00823B"/>
        </w:rPr>
        <w:t xml:space="preserve"> Enrollment from fall 2014 Top 10 Feeder High Schools</w:t>
      </w:r>
    </w:p>
    <w:tbl>
      <w:tblPr>
        <w:tblStyle w:val="TableGrid"/>
        <w:tblW w:w="974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988"/>
        <w:gridCol w:w="691"/>
        <w:gridCol w:w="650"/>
        <w:gridCol w:w="691"/>
        <w:gridCol w:w="621"/>
        <w:gridCol w:w="691"/>
        <w:gridCol w:w="650"/>
        <w:gridCol w:w="691"/>
        <w:gridCol w:w="675"/>
        <w:gridCol w:w="691"/>
        <w:gridCol w:w="702"/>
      </w:tblGrid>
      <w:tr w:rsidR="00775E5A" w:rsidRPr="00C53780" w:rsidTr="00140EB7">
        <w:tc>
          <w:tcPr>
            <w:tcW w:w="2988" w:type="dxa"/>
            <w:vMerge w:val="restart"/>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Institution</w:t>
            </w:r>
          </w:p>
        </w:tc>
        <w:tc>
          <w:tcPr>
            <w:tcW w:w="1341" w:type="dxa"/>
            <w:gridSpan w:val="2"/>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Fall 2010</w:t>
            </w:r>
          </w:p>
        </w:tc>
        <w:tc>
          <w:tcPr>
            <w:tcW w:w="1312" w:type="dxa"/>
            <w:gridSpan w:val="2"/>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Fall 2011</w:t>
            </w:r>
          </w:p>
        </w:tc>
        <w:tc>
          <w:tcPr>
            <w:tcW w:w="1341" w:type="dxa"/>
            <w:gridSpan w:val="2"/>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Fall 2012</w:t>
            </w:r>
          </w:p>
        </w:tc>
        <w:tc>
          <w:tcPr>
            <w:tcW w:w="1366" w:type="dxa"/>
            <w:gridSpan w:val="2"/>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Fall 2013</w:t>
            </w:r>
          </w:p>
        </w:tc>
        <w:tc>
          <w:tcPr>
            <w:tcW w:w="1393" w:type="dxa"/>
            <w:gridSpan w:val="2"/>
            <w:shd w:val="clear" w:color="auto" w:fill="525252" w:themeFill="accent3" w:themeFillShade="80"/>
            <w:vAlign w:val="center"/>
          </w:tcPr>
          <w:p w:rsidR="00775E5A" w:rsidRPr="00C53780" w:rsidRDefault="00775E5A" w:rsidP="00140EB7">
            <w:pPr>
              <w:jc w:val="center"/>
              <w:rPr>
                <w:b/>
                <w:color w:val="FFFFFF" w:themeColor="background1"/>
              </w:rPr>
            </w:pPr>
            <w:r w:rsidRPr="00C53780">
              <w:rPr>
                <w:b/>
                <w:color w:val="FFFFFF" w:themeColor="background1"/>
              </w:rPr>
              <w:t>Fall 2014</w:t>
            </w:r>
          </w:p>
        </w:tc>
      </w:tr>
      <w:tr w:rsidR="00775E5A" w:rsidRPr="00C53780" w:rsidTr="00140EB7">
        <w:tc>
          <w:tcPr>
            <w:tcW w:w="2988" w:type="dxa"/>
            <w:vMerge/>
            <w:shd w:val="clear" w:color="auto" w:fill="525252" w:themeFill="accent3" w:themeFillShade="80"/>
            <w:vAlign w:val="center"/>
          </w:tcPr>
          <w:p w:rsidR="00775E5A" w:rsidRPr="00C53780" w:rsidRDefault="00775E5A" w:rsidP="00140EB7">
            <w:pPr>
              <w:rPr>
                <w:rFonts w:cs="Arial"/>
                <w:b/>
                <w:color w:val="FFFFFF" w:themeColor="background1"/>
              </w:rPr>
            </w:pPr>
          </w:p>
        </w:tc>
        <w:tc>
          <w:tcPr>
            <w:tcW w:w="69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Rank</w:t>
            </w:r>
          </w:p>
        </w:tc>
        <w:tc>
          <w:tcPr>
            <w:tcW w:w="650"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w:t>
            </w:r>
          </w:p>
        </w:tc>
        <w:tc>
          <w:tcPr>
            <w:tcW w:w="69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Rank</w:t>
            </w:r>
          </w:p>
        </w:tc>
        <w:tc>
          <w:tcPr>
            <w:tcW w:w="62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w:t>
            </w:r>
          </w:p>
        </w:tc>
        <w:tc>
          <w:tcPr>
            <w:tcW w:w="69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Rank</w:t>
            </w:r>
          </w:p>
        </w:tc>
        <w:tc>
          <w:tcPr>
            <w:tcW w:w="650"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w:t>
            </w:r>
          </w:p>
        </w:tc>
        <w:tc>
          <w:tcPr>
            <w:tcW w:w="69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Rank</w:t>
            </w:r>
          </w:p>
        </w:tc>
        <w:tc>
          <w:tcPr>
            <w:tcW w:w="675"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w:t>
            </w:r>
          </w:p>
        </w:tc>
        <w:tc>
          <w:tcPr>
            <w:tcW w:w="691"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Rank</w:t>
            </w:r>
          </w:p>
        </w:tc>
        <w:tc>
          <w:tcPr>
            <w:tcW w:w="702" w:type="dxa"/>
            <w:shd w:val="clear" w:color="auto" w:fill="525252" w:themeFill="accent3" w:themeFillShade="80"/>
            <w:vAlign w:val="center"/>
          </w:tcPr>
          <w:p w:rsidR="00775E5A" w:rsidRPr="00C53780" w:rsidRDefault="00775E5A" w:rsidP="00140EB7">
            <w:pPr>
              <w:jc w:val="center"/>
              <w:rPr>
                <w:rFonts w:cs="Arial"/>
                <w:b/>
                <w:color w:val="FFFFFF" w:themeColor="background1"/>
              </w:rPr>
            </w:pPr>
            <w:r w:rsidRPr="00C53780">
              <w:rPr>
                <w:rFonts w:cs="Arial"/>
                <w:b/>
                <w:color w:val="FFFFFF" w:themeColor="background1"/>
              </w:rPr>
              <w:t>#</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YUCAIPA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100</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2</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107</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117</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146</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181</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REDLANDS EAST VALLEY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147</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140</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86</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3</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92</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120</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CITRUS VALLEY HIGH</w:t>
            </w:r>
          </w:p>
        </w:tc>
        <w:tc>
          <w:tcPr>
            <w:tcW w:w="691" w:type="dxa"/>
            <w:shd w:val="clear" w:color="auto" w:fill="000000" w:themeFill="text1"/>
            <w:vAlign w:val="center"/>
          </w:tcPr>
          <w:p w:rsidR="00775E5A" w:rsidRPr="00C53780" w:rsidRDefault="00775E5A" w:rsidP="00140EB7">
            <w:pPr>
              <w:jc w:val="center"/>
              <w:rPr>
                <w:rFonts w:cs="Arial"/>
                <w:color w:val="000000"/>
              </w:rPr>
            </w:pPr>
          </w:p>
        </w:tc>
        <w:tc>
          <w:tcPr>
            <w:tcW w:w="650" w:type="dxa"/>
            <w:shd w:val="clear" w:color="auto" w:fill="000000" w:themeFill="text1"/>
            <w:vAlign w:val="center"/>
          </w:tcPr>
          <w:p w:rsidR="00775E5A" w:rsidRPr="00C53780" w:rsidRDefault="00775E5A" w:rsidP="00140EB7">
            <w:pPr>
              <w:jc w:val="center"/>
              <w:rPr>
                <w:rFonts w:cs="Arial"/>
                <w:color w:val="000000"/>
              </w:rPr>
            </w:pP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68</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6</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33</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4</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70</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119</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REDLANDS SENIOR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102</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3</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96</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78</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2</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106</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115</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OTHER HOME SCHOOL</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5</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34</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5</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41</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5</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40</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6</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48</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5</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60</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BEAUMONT SENIOR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70</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4</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60</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45</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5</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55</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6</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59</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SAN GORGONIO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6</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31</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6</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28</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7</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26</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7</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27</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7</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40</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GREEN VALLEY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10</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14</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9</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15</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8</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23</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9</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17</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8</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28</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ORANGEWOOD HIGH CONT</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8</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17</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7</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18</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9</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18</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12</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14</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9</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17</w:t>
            </w:r>
          </w:p>
        </w:tc>
      </w:tr>
      <w:tr w:rsidR="00775E5A" w:rsidRPr="00C53780" w:rsidTr="00140EB7">
        <w:tc>
          <w:tcPr>
            <w:tcW w:w="2988" w:type="dxa"/>
            <w:shd w:val="clear" w:color="auto" w:fill="E6EED5"/>
          </w:tcPr>
          <w:p w:rsidR="00775E5A" w:rsidRPr="00C53780" w:rsidRDefault="00775E5A" w:rsidP="00140EB7">
            <w:pPr>
              <w:jc w:val="right"/>
              <w:rPr>
                <w:rFonts w:cs="Arial"/>
                <w:color w:val="000000"/>
              </w:rPr>
            </w:pPr>
            <w:r w:rsidRPr="00C53780">
              <w:rPr>
                <w:rFonts w:cs="Arial"/>
                <w:color w:val="000000"/>
              </w:rPr>
              <w:t>RIM WORLD SENIOR HIGH</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7</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29</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14</w:t>
            </w:r>
          </w:p>
        </w:tc>
        <w:tc>
          <w:tcPr>
            <w:tcW w:w="62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9</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11</w:t>
            </w:r>
          </w:p>
        </w:tc>
        <w:tc>
          <w:tcPr>
            <w:tcW w:w="650"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15</w:t>
            </w:r>
          </w:p>
        </w:tc>
        <w:tc>
          <w:tcPr>
            <w:tcW w:w="691"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8</w:t>
            </w:r>
          </w:p>
        </w:tc>
        <w:tc>
          <w:tcPr>
            <w:tcW w:w="675" w:type="dxa"/>
            <w:shd w:val="clear" w:color="auto" w:fill="E6EED5"/>
            <w:vAlign w:val="center"/>
          </w:tcPr>
          <w:p w:rsidR="00775E5A" w:rsidRPr="00C53780" w:rsidRDefault="00775E5A" w:rsidP="00140EB7">
            <w:pPr>
              <w:jc w:val="center"/>
              <w:rPr>
                <w:rFonts w:cs="Arial"/>
                <w:color w:val="000000"/>
              </w:rPr>
            </w:pPr>
            <w:r w:rsidRPr="00C53780">
              <w:rPr>
                <w:rFonts w:cs="Arial"/>
                <w:color w:val="000000"/>
              </w:rPr>
              <w:t>19</w:t>
            </w:r>
          </w:p>
        </w:tc>
        <w:tc>
          <w:tcPr>
            <w:tcW w:w="691"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10</w:t>
            </w:r>
          </w:p>
        </w:tc>
        <w:tc>
          <w:tcPr>
            <w:tcW w:w="702" w:type="dxa"/>
            <w:shd w:val="clear" w:color="auto" w:fill="BFBFBF" w:themeFill="background1" w:themeFillShade="BF"/>
            <w:vAlign w:val="center"/>
          </w:tcPr>
          <w:p w:rsidR="00775E5A" w:rsidRPr="00C53780" w:rsidRDefault="00775E5A" w:rsidP="00140EB7">
            <w:pPr>
              <w:jc w:val="center"/>
              <w:rPr>
                <w:rFonts w:cs="Arial"/>
                <w:color w:val="000000"/>
              </w:rPr>
            </w:pPr>
            <w:r w:rsidRPr="00C53780">
              <w:rPr>
                <w:rFonts w:cs="Arial"/>
                <w:color w:val="000000"/>
              </w:rPr>
              <w:t>15</w:t>
            </w:r>
          </w:p>
        </w:tc>
      </w:tr>
    </w:tbl>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Default="00775E5A" w:rsidP="00C92E6F">
      <w:pPr>
        <w:spacing w:after="0" w:line="240" w:lineRule="auto"/>
        <w:jc w:val="both"/>
        <w:rPr>
          <w:rFonts w:asciiTheme="minorHAnsi" w:hAnsiTheme="minorHAnsi"/>
        </w:rPr>
      </w:pPr>
      <w:r w:rsidRPr="00C92E6F">
        <w:rPr>
          <w:rFonts w:asciiTheme="minorHAnsi" w:hAnsiTheme="minorHAnsi"/>
        </w:rPr>
        <w:t xml:space="preserve">Weekly Student Contact Hours (WSCH) is calculated by the number of hours courses meet during the semester times the number of student in those courses.  WSCH generation is considered a measure of revenue for the College.  From 2010-11 to 2014-15, fall term accounted for an average of 48.7% of total WSCH, spring term accounted for an average of 46.9% of total WSCH and summer accounted for an average of 4.4% of WSCH.  During this period overall WSCH at CHC decreased by 2.1% (-3,027 WSCH).  From 2010-11 to 2014-15, spring term WSCH decreased by 6.1% (-4,050 WSCH) and fall term WSCH </w:t>
      </w:r>
      <w:r w:rsidRPr="00C92E6F">
        <w:rPr>
          <w:rFonts w:asciiTheme="minorHAnsi" w:hAnsiTheme="minorHAnsi"/>
        </w:rPr>
        <w:lastRenderedPageBreak/>
        <w:t xml:space="preserve">decreased by 2.2% (-1,525 WSCH).  However, summer WSCH increased by 30% (2,548 WSCH).  Since 2012-13, CHC’s WSCH generation has increased by 19.1% (22,674 WSCH) over two academic years (2013-14 and 2014-15). </w:t>
      </w:r>
    </w:p>
    <w:p w:rsidR="00C92E6F" w:rsidRPr="00C92E6F" w:rsidRDefault="00C92E6F" w:rsidP="00C92E6F">
      <w:pPr>
        <w:spacing w:after="0" w:line="240" w:lineRule="auto"/>
        <w:jc w:val="both"/>
        <w:rPr>
          <w:rFonts w:asciiTheme="minorHAnsi" w:eastAsiaTheme="minorEastAsia" w:hAnsiTheme="minorHAnsi" w:cstheme="minorBidi"/>
          <w:b/>
          <w:color w:val="auto"/>
          <w:lang w:eastAsia="ja-JP"/>
        </w:rPr>
      </w:pPr>
    </w:p>
    <w:p w:rsidR="00775E5A" w:rsidRDefault="00775E5A" w:rsidP="00C92E6F">
      <w:pPr>
        <w:pStyle w:val="NoSpacing"/>
        <w:jc w:val="center"/>
        <w:rPr>
          <w:b/>
          <w:color w:val="00823B"/>
        </w:rPr>
      </w:pPr>
      <w:r w:rsidRPr="005D4D61">
        <w:rPr>
          <w:b/>
          <w:color w:val="00823B"/>
        </w:rPr>
        <w:t>Exhibit 2.XX WSCH Generation</w:t>
      </w:r>
    </w:p>
    <w:p w:rsidR="00775E5A" w:rsidRPr="005D4D61" w:rsidRDefault="00775E5A" w:rsidP="00775E5A">
      <w:pPr>
        <w:pStyle w:val="NoSpacing"/>
        <w:ind w:left="-720" w:right="-720"/>
        <w:jc w:val="center"/>
        <w:rPr>
          <w:b/>
          <w:color w:val="00823B"/>
        </w:rPr>
      </w:pPr>
      <w:r w:rsidRPr="005D4D61">
        <w:rPr>
          <w:b/>
          <w:noProof/>
          <w:color w:val="00823B"/>
          <w:lang w:eastAsia="en-US"/>
        </w:rPr>
        <w:drawing>
          <wp:inline distT="0" distB="0" distL="0" distR="0">
            <wp:extent cx="6877050" cy="28765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Pr="00C92E6F" w:rsidRDefault="00775E5A" w:rsidP="00C92E6F">
      <w:pPr>
        <w:jc w:val="both"/>
        <w:rPr>
          <w:rFonts w:asciiTheme="minorHAnsi" w:eastAsiaTheme="minorEastAsia" w:hAnsiTheme="minorHAnsi" w:cstheme="minorBidi"/>
          <w:color w:val="auto"/>
          <w:lang w:eastAsia="ja-JP"/>
        </w:rPr>
      </w:pPr>
      <w:r w:rsidRPr="00C92E6F">
        <w:rPr>
          <w:rFonts w:asciiTheme="minorHAnsi" w:hAnsiTheme="minorHAnsi"/>
        </w:rPr>
        <w:t xml:space="preserve">From 2010-11 to 2014-15, the average annual growth rate of section offerings was 7.12% (equivalent to 99 sections added per year).  Section offerings reached their most recent low during the 2011-12 academic </w:t>
      </w:r>
      <w:proofErr w:type="gramStart"/>
      <w:r w:rsidRPr="00C92E6F">
        <w:rPr>
          <w:rFonts w:asciiTheme="minorHAnsi" w:hAnsiTheme="minorHAnsi"/>
        </w:rPr>
        <w:t>year</w:t>
      </w:r>
      <w:proofErr w:type="gramEnd"/>
      <w:r w:rsidRPr="00C92E6F">
        <w:rPr>
          <w:rFonts w:asciiTheme="minorHAnsi" w:hAnsiTheme="minorHAnsi"/>
        </w:rPr>
        <w:t xml:space="preserve"> (1,133 sections).  However, CHC generated 111.95 WSCH per section in 2011-12.  From 2011-12 to 2014-15, course offerings increased by 514 sections (45.37%) while WSCH per sections offered decreased to 86.02 WSCH/section.  The most WSCH generation per sections offered was realized in 2010-11 when the College produced 115.67 WSCH/section.   </w:t>
      </w:r>
    </w:p>
    <w:p w:rsidR="00775E5A" w:rsidRPr="00E94CBD" w:rsidRDefault="00775E5A" w:rsidP="00775E5A">
      <w:pPr>
        <w:pStyle w:val="NoSpacing"/>
        <w:jc w:val="center"/>
        <w:rPr>
          <w:b/>
          <w:color w:val="00823B"/>
        </w:rPr>
      </w:pPr>
      <w:r w:rsidRPr="00E94CBD">
        <w:rPr>
          <w:b/>
          <w:color w:val="00823B"/>
        </w:rPr>
        <w:t>Exhibit 2.XX Section Offerings</w:t>
      </w:r>
    </w:p>
    <w:p w:rsidR="00775E5A" w:rsidRPr="007C358A" w:rsidRDefault="00775E5A" w:rsidP="00775E5A">
      <w:pPr>
        <w:pStyle w:val="NoSpacing"/>
        <w:ind w:left="-720" w:right="-720"/>
        <w:jc w:val="both"/>
      </w:pPr>
      <w:r w:rsidRPr="00E94CBD">
        <w:rPr>
          <w:noProof/>
          <w:lang w:eastAsia="en-US"/>
        </w:rPr>
        <w:drawing>
          <wp:inline distT="0" distB="0" distL="0" distR="0">
            <wp:extent cx="6838950" cy="25241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Pr="00C92E6F" w:rsidRDefault="00775E5A" w:rsidP="00C92E6F">
      <w:pPr>
        <w:jc w:val="both"/>
        <w:rPr>
          <w:rFonts w:asciiTheme="minorHAnsi" w:eastAsiaTheme="minorEastAsia" w:hAnsiTheme="minorHAnsi" w:cstheme="minorBidi"/>
          <w:color w:val="auto"/>
          <w:lang w:eastAsia="ja-JP"/>
        </w:rPr>
      </w:pPr>
      <w:r w:rsidRPr="00C92E6F">
        <w:rPr>
          <w:rFonts w:asciiTheme="minorHAnsi" w:hAnsiTheme="minorHAnsi"/>
        </w:rPr>
        <w:t xml:space="preserve">From 2010-11 to 2014-15, CHC achieved its highest productivity in 2010-11 when the College had 261.34 full time equivalent </w:t>
      </w:r>
      <w:proofErr w:type="gramStart"/>
      <w:r w:rsidRPr="00C92E6F">
        <w:rPr>
          <w:rFonts w:asciiTheme="minorHAnsi" w:hAnsiTheme="minorHAnsi"/>
        </w:rPr>
        <w:t>faculty</w:t>
      </w:r>
      <w:proofErr w:type="gramEnd"/>
      <w:r w:rsidRPr="00C92E6F">
        <w:rPr>
          <w:rFonts w:asciiTheme="minorHAnsi" w:hAnsiTheme="minorHAnsi"/>
        </w:rPr>
        <w:t xml:space="preserve"> (FTEF) and produced 553.72 WSCH/FTEF.  From 2012-13 to 2014-15, the College increased faculty by 84.06 FTEF (37.2%); however productivity decreased by 69.65 WSCH/FTEF (-13.2%).  The California community college recommended standard for productivity is 525 WSCH/FTEF, which represents the approximate point of financial breakeven for a College.  </w:t>
      </w:r>
    </w:p>
    <w:p w:rsidR="00775E5A" w:rsidRDefault="00775E5A" w:rsidP="00775E5A">
      <w:pPr>
        <w:pStyle w:val="NoSpacing"/>
        <w:jc w:val="center"/>
        <w:rPr>
          <w:b/>
          <w:color w:val="00823B"/>
        </w:rPr>
      </w:pPr>
      <w:r w:rsidRPr="00FE1020">
        <w:rPr>
          <w:b/>
          <w:color w:val="00823B"/>
        </w:rPr>
        <w:t>Exhibit 2.XX Productivity (WSCH/FTEF)</w:t>
      </w:r>
    </w:p>
    <w:p w:rsidR="00775E5A" w:rsidRPr="00FE1020" w:rsidRDefault="00775E5A" w:rsidP="00775E5A">
      <w:pPr>
        <w:pStyle w:val="NoSpacing"/>
        <w:ind w:left="-720" w:right="-720"/>
        <w:jc w:val="center"/>
        <w:rPr>
          <w:b/>
          <w:color w:val="00823B"/>
        </w:rPr>
      </w:pPr>
      <w:r w:rsidRPr="00FE1020">
        <w:rPr>
          <w:b/>
          <w:noProof/>
          <w:color w:val="00823B"/>
          <w:lang w:eastAsia="en-US"/>
        </w:rPr>
        <w:drawing>
          <wp:inline distT="0" distB="0" distL="0" distR="0">
            <wp:extent cx="6781800" cy="26098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p>
    <w:p w:rsidR="00775E5A" w:rsidRPr="00C92E6F" w:rsidRDefault="00775E5A" w:rsidP="00C92E6F">
      <w:pPr>
        <w:jc w:val="both"/>
        <w:rPr>
          <w:rFonts w:asciiTheme="minorHAnsi" w:eastAsiaTheme="minorEastAsia" w:hAnsiTheme="minorHAnsi" w:cstheme="minorBidi"/>
          <w:color w:val="auto"/>
          <w:lang w:eastAsia="ja-JP"/>
        </w:rPr>
      </w:pPr>
      <w:r w:rsidRPr="00C92E6F">
        <w:rPr>
          <w:rFonts w:asciiTheme="minorHAnsi" w:hAnsiTheme="minorHAnsi"/>
        </w:rPr>
        <w:t xml:space="preserve">In 2014-15, 61.6% of CHC students (4,975 students) </w:t>
      </w:r>
      <w:r w:rsidR="00FB6DA3">
        <w:rPr>
          <w:rFonts w:asciiTheme="minorHAnsi" w:hAnsiTheme="minorHAnsi"/>
        </w:rPr>
        <w:t>state</w:t>
      </w:r>
      <w:r w:rsidRPr="00C92E6F">
        <w:rPr>
          <w:rFonts w:asciiTheme="minorHAnsi" w:hAnsiTheme="minorHAnsi"/>
        </w:rPr>
        <w:t>d that their educational goal was to obtain a bachelor’s degree (BA/BS) upon transfer.  During the same academic year, 14% of students (1,123 students) had an educational goal of obtaining an associate degree (AA/AS) or certificate without transfer, and 7.5% of students (605 students) identified their goals as related to job skill or maintaining a certification/license.</w:t>
      </w:r>
    </w:p>
    <w:p w:rsidR="00775E5A" w:rsidRPr="00C92E6F" w:rsidRDefault="00775E5A" w:rsidP="00C92E6F">
      <w:pPr>
        <w:pStyle w:val="NoSpacing"/>
        <w:jc w:val="both"/>
      </w:pPr>
    </w:p>
    <w:p w:rsidR="00775E5A" w:rsidRPr="00C92E6F" w:rsidRDefault="00775E5A" w:rsidP="00C92E6F">
      <w:pPr>
        <w:pStyle w:val="NoSpacing"/>
        <w:jc w:val="both"/>
      </w:pPr>
      <w:r w:rsidRPr="00C92E6F">
        <w:t>From 2010-11 to 2014-15, the proportion of students with the goal of obtaining a BA/BS upon transfer increased by 8.2% (303 students).  During the same time, the proportion of students with goals related to job skills or maintaining a certification/license decreased by 2.4% (-258 students).  It should also be noted that the number of students with an undecided goal decreased by 220 students during the same time period.</w:t>
      </w:r>
    </w:p>
    <w:p w:rsidR="00775E5A" w:rsidRDefault="00775E5A"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A85FF0" w:rsidRDefault="00A85FF0" w:rsidP="00775E5A">
      <w:pPr>
        <w:pStyle w:val="NoSpacing"/>
        <w:jc w:val="both"/>
      </w:pPr>
    </w:p>
    <w:p w:rsidR="00775E5A" w:rsidRDefault="00775E5A" w:rsidP="00775E5A">
      <w:pPr>
        <w:pStyle w:val="NoSpacing"/>
        <w:jc w:val="center"/>
        <w:rPr>
          <w:b/>
          <w:color w:val="00823B"/>
        </w:rPr>
      </w:pPr>
      <w:r w:rsidRPr="005F7DFE">
        <w:rPr>
          <w:b/>
          <w:color w:val="00823B"/>
        </w:rPr>
        <w:lastRenderedPageBreak/>
        <w:t>Exhibit 2.XX Unduplicated Enrollment by Educational Goal</w:t>
      </w:r>
    </w:p>
    <w:tbl>
      <w:tblPr>
        <w:tblW w:w="10440" w:type="dxa"/>
        <w:tblInd w:w="-34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2790"/>
        <w:gridCol w:w="720"/>
        <w:gridCol w:w="810"/>
        <w:gridCol w:w="720"/>
        <w:gridCol w:w="810"/>
        <w:gridCol w:w="720"/>
        <w:gridCol w:w="810"/>
        <w:gridCol w:w="720"/>
        <w:gridCol w:w="810"/>
        <w:gridCol w:w="720"/>
        <w:gridCol w:w="810"/>
      </w:tblGrid>
      <w:tr w:rsidR="00775E5A" w:rsidRPr="005F7DFE" w:rsidTr="00140EB7">
        <w:trPr>
          <w:trHeight w:val="300"/>
        </w:trPr>
        <w:tc>
          <w:tcPr>
            <w:tcW w:w="2790" w:type="dxa"/>
            <w:vMerge w:val="restart"/>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Current Education Goal</w:t>
            </w:r>
          </w:p>
        </w:tc>
        <w:tc>
          <w:tcPr>
            <w:tcW w:w="7650" w:type="dxa"/>
            <w:gridSpan w:val="10"/>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Academic Year</w:t>
            </w:r>
          </w:p>
        </w:tc>
      </w:tr>
      <w:tr w:rsidR="00775E5A" w:rsidRPr="005F7DFE" w:rsidTr="00140EB7">
        <w:trPr>
          <w:trHeight w:val="315"/>
        </w:trPr>
        <w:tc>
          <w:tcPr>
            <w:tcW w:w="2790" w:type="dxa"/>
            <w:vMerge/>
            <w:shd w:val="clear" w:color="auto" w:fill="525252" w:themeFill="accent3" w:themeFillShade="80"/>
            <w:vAlign w:val="center"/>
            <w:hideMark/>
          </w:tcPr>
          <w:p w:rsidR="00775E5A" w:rsidRPr="005F7DFE" w:rsidRDefault="00775E5A" w:rsidP="00140EB7">
            <w:pPr>
              <w:spacing w:after="0" w:line="240" w:lineRule="auto"/>
              <w:rPr>
                <w:rFonts w:ascii="Calibri" w:eastAsia="Times New Roman" w:hAnsi="Calibri" w:cs="Times New Roman"/>
                <w:b/>
                <w:bCs/>
                <w:color w:val="FFFFFF" w:themeColor="background1"/>
              </w:rPr>
            </w:pPr>
          </w:p>
        </w:tc>
        <w:tc>
          <w:tcPr>
            <w:tcW w:w="1530" w:type="dxa"/>
            <w:gridSpan w:val="2"/>
            <w:shd w:val="clear" w:color="auto" w:fill="525252" w:themeFill="accent3" w:themeFillShade="80"/>
            <w:noWrap/>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2010-2011</w:t>
            </w:r>
          </w:p>
        </w:tc>
        <w:tc>
          <w:tcPr>
            <w:tcW w:w="1530" w:type="dxa"/>
            <w:gridSpan w:val="2"/>
            <w:shd w:val="clear" w:color="auto" w:fill="525252" w:themeFill="accent3" w:themeFillShade="80"/>
            <w:noWrap/>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2011-2012</w:t>
            </w:r>
          </w:p>
        </w:tc>
        <w:tc>
          <w:tcPr>
            <w:tcW w:w="1530" w:type="dxa"/>
            <w:gridSpan w:val="2"/>
            <w:shd w:val="clear" w:color="auto" w:fill="525252" w:themeFill="accent3" w:themeFillShade="80"/>
            <w:noWrap/>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2012-2013</w:t>
            </w:r>
          </w:p>
        </w:tc>
        <w:tc>
          <w:tcPr>
            <w:tcW w:w="1530" w:type="dxa"/>
            <w:gridSpan w:val="2"/>
            <w:shd w:val="clear" w:color="auto" w:fill="525252" w:themeFill="accent3" w:themeFillShade="80"/>
            <w:noWrap/>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2013-2014</w:t>
            </w:r>
          </w:p>
        </w:tc>
        <w:tc>
          <w:tcPr>
            <w:tcW w:w="1530" w:type="dxa"/>
            <w:gridSpan w:val="2"/>
            <w:shd w:val="clear" w:color="auto" w:fill="525252" w:themeFill="accent3" w:themeFillShade="80"/>
            <w:noWrap/>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2014-2015</w:t>
            </w:r>
          </w:p>
        </w:tc>
      </w:tr>
      <w:tr w:rsidR="00775E5A" w:rsidRPr="005F7DFE" w:rsidTr="00140EB7">
        <w:trPr>
          <w:trHeight w:val="315"/>
        </w:trPr>
        <w:tc>
          <w:tcPr>
            <w:tcW w:w="2790" w:type="dxa"/>
            <w:vMerge/>
            <w:shd w:val="clear" w:color="auto" w:fill="525252" w:themeFill="accent3" w:themeFillShade="80"/>
            <w:vAlign w:val="center"/>
            <w:hideMark/>
          </w:tcPr>
          <w:p w:rsidR="00775E5A" w:rsidRPr="005F7DFE" w:rsidRDefault="00775E5A" w:rsidP="00140EB7">
            <w:pPr>
              <w:spacing w:after="0" w:line="240" w:lineRule="auto"/>
              <w:rPr>
                <w:rFonts w:ascii="Calibri" w:eastAsia="Times New Roman" w:hAnsi="Calibri" w:cs="Times New Roman"/>
                <w:b/>
                <w:bCs/>
                <w:color w:val="FFFFFF" w:themeColor="background1"/>
              </w:rPr>
            </w:pPr>
          </w:p>
        </w:tc>
        <w:tc>
          <w:tcPr>
            <w:tcW w:w="72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81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72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81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72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81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72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81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72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c>
          <w:tcPr>
            <w:tcW w:w="810" w:type="dxa"/>
            <w:shd w:val="clear" w:color="auto" w:fill="525252" w:themeFill="accent3" w:themeFillShade="80"/>
            <w:vAlign w:val="center"/>
            <w:hideMark/>
          </w:tcPr>
          <w:p w:rsidR="00775E5A" w:rsidRPr="005F7DFE" w:rsidRDefault="00775E5A" w:rsidP="00140EB7">
            <w:pPr>
              <w:spacing w:after="0" w:line="240" w:lineRule="auto"/>
              <w:jc w:val="center"/>
              <w:rPr>
                <w:rFonts w:ascii="Calibri" w:eastAsia="Times New Roman" w:hAnsi="Calibri" w:cs="Times New Roman"/>
                <w:b/>
                <w:bCs/>
                <w:color w:val="FFFFFF" w:themeColor="background1"/>
              </w:rPr>
            </w:pPr>
            <w:r w:rsidRPr="005F7DFE">
              <w:rPr>
                <w:rFonts w:ascii="Calibri" w:eastAsia="Times New Roman" w:hAnsi="Calibri" w:cs="Times New Roman"/>
                <w:b/>
                <w:bCs/>
                <w:color w:val="FFFFFF" w:themeColor="background1"/>
              </w:rPr>
              <w:t>%</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BA/BS Degree after Assoc.</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3,677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42.2%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3,524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45.9%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3,484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49.1%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3,751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49.8%</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3,928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48.9%</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BA/BS degree w/o Assoc.</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995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992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950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932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1,047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13.0%</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Assoc. Degree w/o trans.</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929</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10.7%</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827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10.8%</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744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10.5%</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815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10.8%</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841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10.5%</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Voc. Assoc. w/o transfer</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Voc. Certif. w/o transfer</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176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182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2.6%</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183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2.5%</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Career Exploration</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1.6%</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113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1.5%</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Acquire Job Skills</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406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4.7%</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321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256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3.6%</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257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278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3.5%</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Update Job Skills</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198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157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1.6%</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1.8%</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Maintain Cert/License</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109</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1.1%</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Basic Skills</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123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63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.9%</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H.S Diploma/GED</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.0</w:t>
            </w:r>
            <w:r>
              <w:rPr>
                <w:rFonts w:ascii="Calibri" w:eastAsia="Times New Roman" w:hAnsi="Calibri" w:cs="Times New Roman"/>
              </w:rPr>
              <w:t>4</w:t>
            </w:r>
            <w:r w:rsidRPr="005F7DFE">
              <w:rPr>
                <w:rFonts w:ascii="Calibri" w:eastAsia="Times New Roman" w:hAnsi="Calibri" w:cs="Times New Roman"/>
              </w:rPr>
              <w:t>%</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.2%</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Non-credit to credit</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.0</w:t>
            </w:r>
            <w:r>
              <w:rPr>
                <w:rFonts w:ascii="Calibri" w:eastAsia="Times New Roman" w:hAnsi="Calibri" w:cs="Times New Roman"/>
              </w:rPr>
              <w:t>2</w:t>
            </w:r>
            <w:r w:rsidRPr="005F7DFE">
              <w:rPr>
                <w:rFonts w:ascii="Calibri" w:eastAsia="Times New Roman" w:hAnsi="Calibri" w:cs="Times New Roman"/>
              </w:rPr>
              <w:t>%</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4-yr student taking classes</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469</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351</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4.6%</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243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294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358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4.5%</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Educational Development</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185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1.8%</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97</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130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1.7%</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164</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Personal Interest</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.1%</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Pr>
                <w:rFonts w:ascii="Calibri" w:eastAsia="Times New Roman" w:hAnsi="Calibri" w:cs="Times New Roman"/>
              </w:rPr>
              <w:t>0</w:t>
            </w:r>
            <w:r w:rsidRPr="005F7DFE">
              <w:rPr>
                <w:rFonts w:ascii="Calibri" w:eastAsia="Times New Roman" w:hAnsi="Calibri" w:cs="Times New Roman"/>
              </w:rPr>
              <w:t>.0</w:t>
            </w:r>
            <w:r>
              <w:rPr>
                <w:rFonts w:ascii="Calibri" w:eastAsia="Times New Roman" w:hAnsi="Calibri" w:cs="Times New Roman"/>
              </w:rPr>
              <w:t>2</w:t>
            </w:r>
            <w:r w:rsidRPr="005F7DFE">
              <w:rPr>
                <w:rFonts w:ascii="Calibri" w:eastAsia="Times New Roman" w:hAnsi="Calibri" w:cs="Times New Roman"/>
              </w:rPr>
              <w:t>%</w:t>
            </w:r>
          </w:p>
        </w:tc>
      </w:tr>
      <w:tr w:rsidR="00775E5A" w:rsidRPr="005F7DFE" w:rsidTr="00140EB7">
        <w:trPr>
          <w:trHeight w:val="300"/>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Undecided Goal</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782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9.0%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640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8.3%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520</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7.3%</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542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7.2%</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562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7.0%</w:t>
            </w:r>
          </w:p>
        </w:tc>
      </w:tr>
      <w:tr w:rsidR="00775E5A" w:rsidRPr="005F7DFE" w:rsidTr="00140EB7">
        <w:trPr>
          <w:trHeight w:val="315"/>
        </w:trPr>
        <w:tc>
          <w:tcPr>
            <w:tcW w:w="2790" w:type="dxa"/>
            <w:shd w:val="clear" w:color="auto" w:fill="E6EED5"/>
            <w:hideMark/>
          </w:tcPr>
          <w:p w:rsidR="00775E5A" w:rsidRPr="005F7DFE" w:rsidRDefault="00775E5A" w:rsidP="00140EB7">
            <w:pPr>
              <w:spacing w:after="0" w:line="240" w:lineRule="auto"/>
              <w:jc w:val="right"/>
              <w:rPr>
                <w:rFonts w:ascii="Calibri" w:eastAsia="Times New Roman" w:hAnsi="Calibri" w:cs="Times New Roman"/>
              </w:rPr>
            </w:pPr>
            <w:r w:rsidRPr="005F7DFE">
              <w:rPr>
                <w:rFonts w:ascii="Calibri" w:eastAsia="Times New Roman" w:hAnsi="Calibri" w:cs="Times New Roman"/>
              </w:rPr>
              <w:t>Uncollected/Unreported</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332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3.8%</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155</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143</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146</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1.9%</w:t>
            </w:r>
          </w:p>
        </w:tc>
        <w:tc>
          <w:tcPr>
            <w:tcW w:w="72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162</w:t>
            </w:r>
          </w:p>
        </w:tc>
        <w:tc>
          <w:tcPr>
            <w:tcW w:w="810" w:type="dxa"/>
            <w:shd w:val="clear" w:color="auto" w:fill="E6EED5"/>
            <w:noWrap/>
            <w:vAlign w:val="center"/>
            <w:hideMark/>
          </w:tcPr>
          <w:p w:rsidR="00775E5A" w:rsidRPr="005F7DFE" w:rsidRDefault="00775E5A" w:rsidP="00140EB7">
            <w:pPr>
              <w:spacing w:after="0" w:line="240" w:lineRule="auto"/>
              <w:jc w:val="center"/>
              <w:rPr>
                <w:rFonts w:ascii="Calibri" w:eastAsia="Times New Roman" w:hAnsi="Calibri" w:cs="Times New Roman"/>
              </w:rPr>
            </w:pPr>
            <w:r w:rsidRPr="005F7DFE">
              <w:rPr>
                <w:rFonts w:ascii="Calibri" w:eastAsia="Times New Roman" w:hAnsi="Calibri" w:cs="Times New Roman"/>
              </w:rPr>
              <w:t>2.0%</w:t>
            </w:r>
          </w:p>
        </w:tc>
      </w:tr>
      <w:tr w:rsidR="00775E5A" w:rsidRPr="005F7DFE" w:rsidTr="00140EB7">
        <w:trPr>
          <w:trHeight w:val="315"/>
        </w:trPr>
        <w:tc>
          <w:tcPr>
            <w:tcW w:w="2790" w:type="dxa"/>
            <w:shd w:val="clear" w:color="auto" w:fill="BFBFBF" w:themeFill="background1" w:themeFillShade="BF"/>
            <w:hideMark/>
          </w:tcPr>
          <w:p w:rsidR="00775E5A" w:rsidRPr="005F7DFE" w:rsidRDefault="00775E5A" w:rsidP="00140EB7">
            <w:pPr>
              <w:spacing w:after="0" w:line="240" w:lineRule="auto"/>
              <w:jc w:val="right"/>
              <w:rPr>
                <w:rFonts w:ascii="Calibri" w:eastAsia="Times New Roman" w:hAnsi="Calibri" w:cs="Times New Roman"/>
                <w:b/>
                <w:bCs/>
              </w:rPr>
            </w:pPr>
            <w:r w:rsidRPr="005F7DFE">
              <w:rPr>
                <w:rFonts w:ascii="Calibri" w:eastAsia="Times New Roman" w:hAnsi="Calibri" w:cs="Times New Roman"/>
                <w:b/>
                <w:bCs/>
              </w:rPr>
              <w:t>Total</w:t>
            </w:r>
          </w:p>
        </w:tc>
        <w:tc>
          <w:tcPr>
            <w:tcW w:w="72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sidRPr="005F7DFE">
              <w:rPr>
                <w:rFonts w:ascii="Calibri" w:eastAsia="Times New Roman" w:hAnsi="Calibri" w:cs="Times New Roman"/>
                <w:b/>
                <w:bCs/>
              </w:rPr>
              <w:t>8,708</w:t>
            </w:r>
          </w:p>
        </w:tc>
        <w:tc>
          <w:tcPr>
            <w:tcW w:w="81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Pr>
                <w:rFonts w:ascii="Calibri" w:eastAsia="Times New Roman" w:hAnsi="Calibri" w:cs="Times New Roman"/>
                <w:b/>
                <w:bCs/>
              </w:rPr>
              <w:t>100</w:t>
            </w:r>
            <w:r w:rsidRPr="005F7DFE">
              <w:rPr>
                <w:rFonts w:ascii="Calibri" w:eastAsia="Times New Roman" w:hAnsi="Calibri" w:cs="Times New Roman"/>
                <w:b/>
                <w:bCs/>
              </w:rPr>
              <w:t>%</w:t>
            </w:r>
          </w:p>
        </w:tc>
        <w:tc>
          <w:tcPr>
            <w:tcW w:w="72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sidRPr="005F7DFE">
              <w:rPr>
                <w:rFonts w:ascii="Calibri" w:eastAsia="Times New Roman" w:hAnsi="Calibri" w:cs="Times New Roman"/>
                <w:b/>
                <w:bCs/>
              </w:rPr>
              <w:t>7,674</w:t>
            </w:r>
          </w:p>
        </w:tc>
        <w:tc>
          <w:tcPr>
            <w:tcW w:w="81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Pr>
                <w:rFonts w:ascii="Calibri" w:eastAsia="Times New Roman" w:hAnsi="Calibri" w:cs="Times New Roman"/>
                <w:b/>
                <w:bCs/>
              </w:rPr>
              <w:t>100</w:t>
            </w:r>
            <w:r w:rsidRPr="005F7DFE">
              <w:rPr>
                <w:rFonts w:ascii="Calibri" w:eastAsia="Times New Roman" w:hAnsi="Calibri" w:cs="Times New Roman"/>
                <w:b/>
                <w:bCs/>
              </w:rPr>
              <w:t>%</w:t>
            </w:r>
          </w:p>
        </w:tc>
        <w:tc>
          <w:tcPr>
            <w:tcW w:w="72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sidRPr="005F7DFE">
              <w:rPr>
                <w:rFonts w:ascii="Calibri" w:eastAsia="Times New Roman" w:hAnsi="Calibri" w:cs="Times New Roman"/>
                <w:b/>
                <w:bCs/>
              </w:rPr>
              <w:t>7,096</w:t>
            </w:r>
          </w:p>
        </w:tc>
        <w:tc>
          <w:tcPr>
            <w:tcW w:w="81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Pr>
                <w:rFonts w:ascii="Calibri" w:eastAsia="Times New Roman" w:hAnsi="Calibri" w:cs="Times New Roman"/>
                <w:b/>
                <w:bCs/>
              </w:rPr>
              <w:t>100</w:t>
            </w:r>
            <w:r w:rsidRPr="005F7DFE">
              <w:rPr>
                <w:rFonts w:ascii="Calibri" w:eastAsia="Times New Roman" w:hAnsi="Calibri" w:cs="Times New Roman"/>
                <w:b/>
                <w:bCs/>
              </w:rPr>
              <w:t>%</w:t>
            </w:r>
          </w:p>
        </w:tc>
        <w:tc>
          <w:tcPr>
            <w:tcW w:w="72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sidRPr="005F7DFE">
              <w:rPr>
                <w:rFonts w:ascii="Calibri" w:eastAsia="Times New Roman" w:hAnsi="Calibri" w:cs="Times New Roman"/>
                <w:b/>
                <w:bCs/>
              </w:rPr>
              <w:t>7,528</w:t>
            </w:r>
          </w:p>
        </w:tc>
        <w:tc>
          <w:tcPr>
            <w:tcW w:w="81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Pr>
                <w:rFonts w:ascii="Calibri" w:eastAsia="Times New Roman" w:hAnsi="Calibri" w:cs="Times New Roman"/>
                <w:b/>
                <w:bCs/>
              </w:rPr>
              <w:t>100</w:t>
            </w:r>
            <w:r w:rsidRPr="005F7DFE">
              <w:rPr>
                <w:rFonts w:ascii="Calibri" w:eastAsia="Times New Roman" w:hAnsi="Calibri" w:cs="Times New Roman"/>
                <w:b/>
                <w:bCs/>
              </w:rPr>
              <w:t>%</w:t>
            </w:r>
          </w:p>
        </w:tc>
        <w:tc>
          <w:tcPr>
            <w:tcW w:w="72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sidRPr="005F7DFE">
              <w:rPr>
                <w:rFonts w:ascii="Calibri" w:eastAsia="Times New Roman" w:hAnsi="Calibri" w:cs="Times New Roman"/>
                <w:b/>
                <w:bCs/>
              </w:rPr>
              <w:t>8,040</w:t>
            </w:r>
          </w:p>
        </w:tc>
        <w:tc>
          <w:tcPr>
            <w:tcW w:w="810" w:type="dxa"/>
            <w:shd w:val="clear" w:color="auto" w:fill="BFBFBF" w:themeFill="background1" w:themeFillShade="BF"/>
            <w:noWrap/>
            <w:vAlign w:val="center"/>
            <w:hideMark/>
          </w:tcPr>
          <w:p w:rsidR="00775E5A" w:rsidRPr="005F7DFE" w:rsidRDefault="00775E5A" w:rsidP="00140EB7">
            <w:pPr>
              <w:spacing w:after="0" w:line="240" w:lineRule="auto"/>
              <w:jc w:val="center"/>
              <w:rPr>
                <w:rFonts w:ascii="Calibri" w:eastAsia="Times New Roman" w:hAnsi="Calibri" w:cs="Times New Roman"/>
                <w:b/>
                <w:bCs/>
              </w:rPr>
            </w:pPr>
            <w:r>
              <w:rPr>
                <w:rFonts w:ascii="Calibri" w:eastAsia="Times New Roman" w:hAnsi="Calibri" w:cs="Times New Roman"/>
                <w:b/>
                <w:bCs/>
              </w:rPr>
              <w:t>100</w:t>
            </w:r>
            <w:r w:rsidRPr="005F7DFE">
              <w:rPr>
                <w:rFonts w:ascii="Calibri" w:eastAsia="Times New Roman" w:hAnsi="Calibri" w:cs="Times New Roman"/>
                <w:b/>
                <w:bCs/>
              </w:rPr>
              <w:t>%</w:t>
            </w:r>
          </w:p>
        </w:tc>
      </w:tr>
    </w:tbl>
    <w:p w:rsidR="00775E5A" w:rsidRDefault="00775E5A" w:rsidP="00775E5A">
      <w:pPr>
        <w:pStyle w:val="NoSpacing"/>
        <w:jc w:val="both"/>
        <w:rPr>
          <w:i/>
          <w:sz w:val="20"/>
          <w:szCs w:val="20"/>
        </w:rPr>
      </w:pPr>
      <w:r>
        <w:rPr>
          <w:i/>
          <w:sz w:val="20"/>
          <w:szCs w:val="20"/>
        </w:rPr>
        <w:t>Source: SBCCD Office of Institutional Effectiveness, Research &amp; Planning</w:t>
      </w:r>
    </w:p>
    <w:p w:rsidR="00775E5A" w:rsidRDefault="00775E5A" w:rsidP="00775E5A">
      <w:pPr>
        <w:pStyle w:val="NoSpacing"/>
        <w:rPr>
          <w:b/>
          <w:color w:val="00823B"/>
        </w:rPr>
      </w:pPr>
    </w:p>
    <w:p w:rsidR="00775E5A" w:rsidRPr="00AD14B6" w:rsidRDefault="00775E5A" w:rsidP="00AD14B6">
      <w:pPr>
        <w:spacing w:after="0" w:line="240" w:lineRule="auto"/>
        <w:rPr>
          <w:rFonts w:asciiTheme="minorHAnsi" w:eastAsiaTheme="minorEastAsia" w:hAnsiTheme="minorHAnsi" w:cstheme="minorBidi"/>
          <w:b/>
          <w:color w:val="00823B"/>
          <w:lang w:eastAsia="ja-JP"/>
        </w:rPr>
      </w:pPr>
      <w:r w:rsidRPr="00AD14B6">
        <w:rPr>
          <w:rFonts w:asciiTheme="minorHAnsi" w:hAnsiTheme="minorHAnsi"/>
          <w:b/>
          <w:color w:val="00823B"/>
        </w:rPr>
        <w:t>Student Success and Completion</w:t>
      </w:r>
    </w:p>
    <w:p w:rsidR="00775E5A" w:rsidRDefault="00775E5A" w:rsidP="00775E5A">
      <w:pPr>
        <w:pStyle w:val="NoSpacing"/>
        <w:tabs>
          <w:tab w:val="left" w:pos="1245"/>
        </w:tabs>
        <w:jc w:val="both"/>
      </w:pPr>
      <w:r>
        <w:t xml:space="preserve">From 2010-11 and 2014-15, CHC experienced an average retention rate of 90.7% and an average success rate of 73.3%.  The most recent peak retention rate at CHC was 91.5% in 2012-13, while the most recent peak success rate was 74.3% in 2011-12.  From 2012-13 to 2014-15, CHC’s retention rate declined at an average annual rate of 0.02% while success rate declined at an average annual rate of 0.13%.  From 2010-11 to 2014-15, the average gap between success and retention rates was 17.4%.  In fall 2014, </w:t>
      </w:r>
      <w:r w:rsidR="00FB6DA3">
        <w:t>State-wide</w:t>
      </w:r>
      <w:r>
        <w:t xml:space="preserve"> averages for success and retention rates were 69.01% and 86.3%, respectively.  </w:t>
      </w:r>
    </w:p>
    <w:p w:rsidR="00775E5A" w:rsidRDefault="00775E5A"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AD14B6" w:rsidRDefault="00AD14B6" w:rsidP="00775E5A">
      <w:pPr>
        <w:pStyle w:val="NoSpacing"/>
        <w:tabs>
          <w:tab w:val="left" w:pos="1245"/>
        </w:tabs>
        <w:jc w:val="both"/>
      </w:pPr>
    </w:p>
    <w:p w:rsidR="00775E5A" w:rsidRDefault="00775E5A" w:rsidP="00775E5A">
      <w:pPr>
        <w:pStyle w:val="NoSpacing"/>
        <w:tabs>
          <w:tab w:val="left" w:pos="1245"/>
        </w:tabs>
        <w:jc w:val="center"/>
        <w:rPr>
          <w:b/>
          <w:color w:val="00823B"/>
        </w:rPr>
      </w:pPr>
      <w:r w:rsidRPr="005B1369">
        <w:rPr>
          <w:b/>
          <w:color w:val="00823B"/>
        </w:rPr>
        <w:lastRenderedPageBreak/>
        <w:t>Exhibit 2.XX Success and Retention Rates</w:t>
      </w:r>
    </w:p>
    <w:p w:rsidR="00775E5A" w:rsidRDefault="00775E5A" w:rsidP="00775E5A">
      <w:pPr>
        <w:pStyle w:val="NoSpacing"/>
        <w:tabs>
          <w:tab w:val="left" w:pos="1245"/>
        </w:tabs>
        <w:ind w:left="-720" w:right="-720"/>
        <w:jc w:val="center"/>
        <w:rPr>
          <w:b/>
          <w:color w:val="00823B"/>
        </w:rPr>
      </w:pPr>
      <w:r w:rsidRPr="005B1369">
        <w:rPr>
          <w:b/>
          <w:noProof/>
          <w:color w:val="00823B"/>
          <w:lang w:eastAsia="en-US"/>
        </w:rPr>
        <w:drawing>
          <wp:inline distT="0" distB="0" distL="0" distR="0">
            <wp:extent cx="6743700" cy="20478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5E5A" w:rsidRDefault="00775E5A" w:rsidP="00775E5A">
      <w:pPr>
        <w:pStyle w:val="NoSpacing"/>
        <w:jc w:val="both"/>
        <w:rPr>
          <w:i/>
          <w:sz w:val="20"/>
          <w:szCs w:val="20"/>
        </w:rPr>
      </w:pPr>
      <w:r>
        <w:rPr>
          <w:i/>
          <w:sz w:val="20"/>
          <w:szCs w:val="20"/>
        </w:rPr>
        <w:t>Source: SBCCD Office of Institutional Effectiveness, Research &amp; Planning</w:t>
      </w:r>
    </w:p>
    <w:p w:rsidR="00AD14B6" w:rsidRDefault="00AD14B6" w:rsidP="00775E5A">
      <w:pPr>
        <w:pStyle w:val="NoSpacing"/>
        <w:tabs>
          <w:tab w:val="left" w:pos="1245"/>
        </w:tabs>
        <w:jc w:val="both"/>
      </w:pPr>
    </w:p>
    <w:p w:rsidR="00775E5A" w:rsidRPr="005B1369" w:rsidRDefault="00775E5A" w:rsidP="00775E5A">
      <w:pPr>
        <w:pStyle w:val="NoSpacing"/>
        <w:tabs>
          <w:tab w:val="left" w:pos="1245"/>
        </w:tabs>
        <w:jc w:val="both"/>
      </w:pPr>
      <w:r>
        <w:t>The total number of degrees and certificates awarded at CHC increased by 30.5% (219 awards) from 2010-11 to 2014-15.  During the same time period, the number of AS degrees awarded increased by 52.9% (83 degrees), while certificates requiring 60+ semester units decreased by 78% (-32 certificates).  From 2012-13 to 2014-15, the number of associate for transfer degrees (AA-T/AS-T) awards increased by 84 awards over just two academic years.  In 2014-15, associate for transfer degrees accounted for 24.03% of all associate degrees awarded (149 AA-T/AS-T awards of 620 total AA/AS awards).</w:t>
      </w:r>
    </w:p>
    <w:p w:rsidR="00775E5A" w:rsidRDefault="00775E5A" w:rsidP="00775E5A">
      <w:pPr>
        <w:pStyle w:val="NoSpacing"/>
        <w:jc w:val="both"/>
      </w:pPr>
    </w:p>
    <w:p w:rsidR="00775E5A" w:rsidRPr="00F473F1" w:rsidRDefault="00775E5A" w:rsidP="00775E5A">
      <w:pPr>
        <w:pStyle w:val="NoSpacing"/>
        <w:jc w:val="center"/>
        <w:rPr>
          <w:b/>
          <w:color w:val="00823B"/>
        </w:rPr>
      </w:pPr>
      <w:r w:rsidRPr="00F473F1">
        <w:rPr>
          <w:b/>
          <w:color w:val="00823B"/>
        </w:rPr>
        <w:t>Exhibit 2.XX Degrees and Certificates Awarded</w:t>
      </w:r>
    </w:p>
    <w:tbl>
      <w:tblPr>
        <w:tblW w:w="10170" w:type="dxa"/>
        <w:tblInd w:w="-25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770"/>
        <w:gridCol w:w="990"/>
        <w:gridCol w:w="1080"/>
        <w:gridCol w:w="1080"/>
        <w:gridCol w:w="1080"/>
        <w:gridCol w:w="1170"/>
      </w:tblGrid>
      <w:tr w:rsidR="00775E5A" w:rsidTr="00140EB7">
        <w:trPr>
          <w:trHeight w:val="304"/>
        </w:trPr>
        <w:tc>
          <w:tcPr>
            <w:tcW w:w="477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Degree / Certificate Type</w:t>
            </w:r>
          </w:p>
        </w:tc>
        <w:tc>
          <w:tcPr>
            <w:tcW w:w="99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2010-11</w:t>
            </w:r>
          </w:p>
        </w:tc>
        <w:tc>
          <w:tcPr>
            <w:tcW w:w="108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2011-12</w:t>
            </w:r>
          </w:p>
        </w:tc>
        <w:tc>
          <w:tcPr>
            <w:tcW w:w="108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2012-13</w:t>
            </w:r>
          </w:p>
        </w:tc>
        <w:tc>
          <w:tcPr>
            <w:tcW w:w="108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2013-14</w:t>
            </w:r>
          </w:p>
        </w:tc>
        <w:tc>
          <w:tcPr>
            <w:tcW w:w="1170" w:type="dxa"/>
            <w:shd w:val="clear" w:color="auto" w:fill="525252" w:themeFill="accent3" w:themeFillShade="80"/>
            <w:noWrap/>
            <w:vAlign w:val="center"/>
            <w:hideMark/>
          </w:tcPr>
          <w:p w:rsidR="00775E5A" w:rsidRDefault="00775E5A" w:rsidP="00140EB7">
            <w:pPr>
              <w:spacing w:after="0" w:line="240" w:lineRule="auto"/>
              <w:jc w:val="center"/>
              <w:rPr>
                <w:rFonts w:ascii="Calibri" w:eastAsia="Times New Roman" w:hAnsi="Calibri" w:cs="Arial"/>
                <w:b/>
                <w:color w:val="FFFFFF" w:themeColor="background1"/>
              </w:rPr>
            </w:pPr>
            <w:r>
              <w:rPr>
                <w:rFonts w:ascii="Calibri" w:eastAsia="Times New Roman" w:hAnsi="Calibri" w:cs="Arial"/>
                <w:b/>
                <w:color w:val="FFFFFF" w:themeColor="background1"/>
              </w:rPr>
              <w:t>2014-15</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Associate in Science for Transfer (A.S.-T) Degree           </w:t>
            </w:r>
          </w:p>
        </w:tc>
        <w:tc>
          <w:tcPr>
            <w:tcW w:w="990" w:type="dxa"/>
            <w:shd w:val="clear" w:color="auto" w:fill="E6EED5"/>
            <w:noWrap/>
            <w:vAlign w:val="center"/>
          </w:tcPr>
          <w:p w:rsidR="00775E5A" w:rsidRDefault="00775E5A" w:rsidP="00140EB7">
            <w:pPr>
              <w:pStyle w:val="NoSpacing"/>
              <w:jc w:val="center"/>
            </w:pPr>
            <w:r>
              <w:t>0</w:t>
            </w:r>
          </w:p>
        </w:tc>
        <w:tc>
          <w:tcPr>
            <w:tcW w:w="1080" w:type="dxa"/>
            <w:shd w:val="clear" w:color="auto" w:fill="E6EED5"/>
            <w:noWrap/>
            <w:vAlign w:val="center"/>
          </w:tcPr>
          <w:p w:rsidR="00775E5A" w:rsidRDefault="00775E5A" w:rsidP="00140EB7">
            <w:pPr>
              <w:pStyle w:val="NoSpacing"/>
              <w:jc w:val="center"/>
            </w:pPr>
            <w:r>
              <w:t>0</w:t>
            </w:r>
          </w:p>
        </w:tc>
        <w:tc>
          <w:tcPr>
            <w:tcW w:w="1080" w:type="dxa"/>
            <w:shd w:val="clear" w:color="auto" w:fill="E6EED5"/>
            <w:noWrap/>
            <w:vAlign w:val="center"/>
          </w:tcPr>
          <w:p w:rsidR="00775E5A" w:rsidRDefault="00775E5A" w:rsidP="00140EB7">
            <w:pPr>
              <w:pStyle w:val="NoSpacing"/>
              <w:jc w:val="center"/>
            </w:pPr>
            <w:r>
              <w:t>34</w:t>
            </w:r>
          </w:p>
        </w:tc>
        <w:tc>
          <w:tcPr>
            <w:tcW w:w="1080" w:type="dxa"/>
            <w:shd w:val="clear" w:color="auto" w:fill="E6EED5"/>
            <w:noWrap/>
            <w:vAlign w:val="center"/>
          </w:tcPr>
          <w:p w:rsidR="00775E5A" w:rsidRDefault="00775E5A" w:rsidP="00140EB7">
            <w:pPr>
              <w:pStyle w:val="NoSpacing"/>
              <w:jc w:val="center"/>
            </w:pPr>
            <w:r>
              <w:t>48</w:t>
            </w:r>
          </w:p>
        </w:tc>
        <w:tc>
          <w:tcPr>
            <w:tcW w:w="1170" w:type="dxa"/>
            <w:shd w:val="clear" w:color="auto" w:fill="E6EED5"/>
            <w:noWrap/>
            <w:vAlign w:val="center"/>
          </w:tcPr>
          <w:p w:rsidR="00775E5A" w:rsidRDefault="00775E5A" w:rsidP="00140EB7">
            <w:pPr>
              <w:pStyle w:val="NoSpacing"/>
              <w:jc w:val="center"/>
            </w:pPr>
            <w:r>
              <w:t>74</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Associate in Arts for Transfer (A.A.-T) Degree              </w:t>
            </w:r>
          </w:p>
        </w:tc>
        <w:tc>
          <w:tcPr>
            <w:tcW w:w="990" w:type="dxa"/>
            <w:shd w:val="clear" w:color="auto" w:fill="E6EED5"/>
            <w:noWrap/>
            <w:vAlign w:val="center"/>
          </w:tcPr>
          <w:p w:rsidR="00775E5A" w:rsidRDefault="00775E5A" w:rsidP="00140EB7">
            <w:pPr>
              <w:pStyle w:val="NoSpacing"/>
              <w:jc w:val="center"/>
            </w:pPr>
            <w:r>
              <w:t>0</w:t>
            </w:r>
          </w:p>
        </w:tc>
        <w:tc>
          <w:tcPr>
            <w:tcW w:w="1080" w:type="dxa"/>
            <w:shd w:val="clear" w:color="auto" w:fill="E6EED5"/>
            <w:noWrap/>
            <w:vAlign w:val="center"/>
          </w:tcPr>
          <w:p w:rsidR="00775E5A" w:rsidRDefault="00775E5A" w:rsidP="00140EB7">
            <w:pPr>
              <w:pStyle w:val="NoSpacing"/>
              <w:jc w:val="center"/>
            </w:pPr>
            <w:r>
              <w:t>0</w:t>
            </w:r>
          </w:p>
        </w:tc>
        <w:tc>
          <w:tcPr>
            <w:tcW w:w="1080" w:type="dxa"/>
            <w:shd w:val="clear" w:color="auto" w:fill="E6EED5"/>
            <w:noWrap/>
            <w:vAlign w:val="center"/>
          </w:tcPr>
          <w:p w:rsidR="00775E5A" w:rsidRDefault="00775E5A" w:rsidP="00140EB7">
            <w:pPr>
              <w:pStyle w:val="NoSpacing"/>
              <w:jc w:val="center"/>
            </w:pPr>
            <w:r>
              <w:t>31</w:t>
            </w:r>
          </w:p>
        </w:tc>
        <w:tc>
          <w:tcPr>
            <w:tcW w:w="1080" w:type="dxa"/>
            <w:shd w:val="clear" w:color="auto" w:fill="E6EED5"/>
            <w:noWrap/>
            <w:vAlign w:val="center"/>
          </w:tcPr>
          <w:p w:rsidR="00775E5A" w:rsidRDefault="00775E5A" w:rsidP="00140EB7">
            <w:pPr>
              <w:pStyle w:val="NoSpacing"/>
              <w:jc w:val="center"/>
            </w:pPr>
            <w:r>
              <w:t>69</w:t>
            </w:r>
          </w:p>
        </w:tc>
        <w:tc>
          <w:tcPr>
            <w:tcW w:w="1170" w:type="dxa"/>
            <w:shd w:val="clear" w:color="auto" w:fill="E6EED5"/>
            <w:noWrap/>
            <w:vAlign w:val="center"/>
          </w:tcPr>
          <w:p w:rsidR="00775E5A" w:rsidRDefault="00775E5A" w:rsidP="00140EB7">
            <w:pPr>
              <w:pStyle w:val="NoSpacing"/>
              <w:jc w:val="center"/>
            </w:pPr>
            <w:r>
              <w:t>75</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Associate of Science (A.S.) degree                          </w:t>
            </w:r>
          </w:p>
        </w:tc>
        <w:tc>
          <w:tcPr>
            <w:tcW w:w="990" w:type="dxa"/>
            <w:shd w:val="clear" w:color="auto" w:fill="E6EED5"/>
            <w:noWrap/>
            <w:vAlign w:val="center"/>
          </w:tcPr>
          <w:p w:rsidR="00775E5A" w:rsidRDefault="00775E5A" w:rsidP="00140EB7">
            <w:pPr>
              <w:pStyle w:val="NoSpacing"/>
              <w:jc w:val="center"/>
            </w:pPr>
            <w:r>
              <w:t>157</w:t>
            </w:r>
          </w:p>
        </w:tc>
        <w:tc>
          <w:tcPr>
            <w:tcW w:w="1080" w:type="dxa"/>
            <w:shd w:val="clear" w:color="auto" w:fill="E6EED5"/>
            <w:noWrap/>
            <w:vAlign w:val="center"/>
          </w:tcPr>
          <w:p w:rsidR="00775E5A" w:rsidRDefault="00775E5A" w:rsidP="00140EB7">
            <w:pPr>
              <w:pStyle w:val="NoSpacing"/>
              <w:jc w:val="center"/>
            </w:pPr>
            <w:r>
              <w:t>141</w:t>
            </w:r>
          </w:p>
        </w:tc>
        <w:tc>
          <w:tcPr>
            <w:tcW w:w="1080" w:type="dxa"/>
            <w:shd w:val="clear" w:color="auto" w:fill="E6EED5"/>
            <w:noWrap/>
            <w:vAlign w:val="center"/>
          </w:tcPr>
          <w:p w:rsidR="00775E5A" w:rsidRDefault="00775E5A" w:rsidP="00140EB7">
            <w:pPr>
              <w:pStyle w:val="NoSpacing"/>
              <w:jc w:val="center"/>
            </w:pPr>
            <w:r>
              <w:t>174</w:t>
            </w:r>
          </w:p>
        </w:tc>
        <w:tc>
          <w:tcPr>
            <w:tcW w:w="1080" w:type="dxa"/>
            <w:shd w:val="clear" w:color="auto" w:fill="E6EED5"/>
            <w:noWrap/>
            <w:vAlign w:val="center"/>
          </w:tcPr>
          <w:p w:rsidR="00775E5A" w:rsidRDefault="00775E5A" w:rsidP="00140EB7">
            <w:pPr>
              <w:pStyle w:val="NoSpacing"/>
              <w:jc w:val="center"/>
            </w:pPr>
            <w:r>
              <w:t>207</w:t>
            </w:r>
          </w:p>
        </w:tc>
        <w:tc>
          <w:tcPr>
            <w:tcW w:w="1170" w:type="dxa"/>
            <w:shd w:val="clear" w:color="auto" w:fill="E6EED5"/>
            <w:noWrap/>
            <w:vAlign w:val="center"/>
          </w:tcPr>
          <w:p w:rsidR="00775E5A" w:rsidRDefault="00775E5A" w:rsidP="00140EB7">
            <w:pPr>
              <w:pStyle w:val="NoSpacing"/>
              <w:jc w:val="center"/>
            </w:pPr>
            <w:r>
              <w:t>240</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Associate of Arts (A.A.) degree                             </w:t>
            </w:r>
          </w:p>
        </w:tc>
        <w:tc>
          <w:tcPr>
            <w:tcW w:w="990" w:type="dxa"/>
            <w:shd w:val="clear" w:color="auto" w:fill="E6EED5"/>
            <w:noWrap/>
            <w:vAlign w:val="center"/>
          </w:tcPr>
          <w:p w:rsidR="00775E5A" w:rsidRDefault="00775E5A" w:rsidP="00140EB7">
            <w:pPr>
              <w:pStyle w:val="NoSpacing"/>
              <w:jc w:val="center"/>
            </w:pPr>
            <w:r>
              <w:t>201</w:t>
            </w:r>
          </w:p>
        </w:tc>
        <w:tc>
          <w:tcPr>
            <w:tcW w:w="1080" w:type="dxa"/>
            <w:shd w:val="clear" w:color="auto" w:fill="E6EED5"/>
            <w:noWrap/>
            <w:vAlign w:val="center"/>
          </w:tcPr>
          <w:p w:rsidR="00775E5A" w:rsidRDefault="00775E5A" w:rsidP="00140EB7">
            <w:pPr>
              <w:pStyle w:val="NoSpacing"/>
              <w:jc w:val="center"/>
            </w:pPr>
            <w:r>
              <w:t>191</w:t>
            </w:r>
          </w:p>
        </w:tc>
        <w:tc>
          <w:tcPr>
            <w:tcW w:w="1080" w:type="dxa"/>
            <w:shd w:val="clear" w:color="auto" w:fill="E6EED5"/>
            <w:noWrap/>
            <w:vAlign w:val="center"/>
          </w:tcPr>
          <w:p w:rsidR="00775E5A" w:rsidRDefault="00775E5A" w:rsidP="00140EB7">
            <w:pPr>
              <w:pStyle w:val="NoSpacing"/>
              <w:jc w:val="center"/>
            </w:pPr>
            <w:r>
              <w:t>201</w:t>
            </w:r>
          </w:p>
        </w:tc>
        <w:tc>
          <w:tcPr>
            <w:tcW w:w="1080" w:type="dxa"/>
            <w:shd w:val="clear" w:color="auto" w:fill="E6EED5"/>
            <w:noWrap/>
            <w:vAlign w:val="center"/>
          </w:tcPr>
          <w:p w:rsidR="00775E5A" w:rsidRDefault="00775E5A" w:rsidP="00140EB7">
            <w:pPr>
              <w:pStyle w:val="NoSpacing"/>
              <w:jc w:val="center"/>
            </w:pPr>
            <w:r>
              <w:t>184</w:t>
            </w:r>
          </w:p>
        </w:tc>
        <w:tc>
          <w:tcPr>
            <w:tcW w:w="1170" w:type="dxa"/>
            <w:shd w:val="clear" w:color="auto" w:fill="E6EED5"/>
            <w:noWrap/>
            <w:vAlign w:val="center"/>
          </w:tcPr>
          <w:p w:rsidR="00775E5A" w:rsidRDefault="00775E5A" w:rsidP="00140EB7">
            <w:pPr>
              <w:pStyle w:val="NoSpacing"/>
              <w:jc w:val="center"/>
            </w:pPr>
            <w:r>
              <w:t>231</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Certificate requiring 60+ semester units                    </w:t>
            </w:r>
          </w:p>
        </w:tc>
        <w:tc>
          <w:tcPr>
            <w:tcW w:w="990" w:type="dxa"/>
            <w:shd w:val="clear" w:color="auto" w:fill="E6EED5"/>
            <w:noWrap/>
            <w:vAlign w:val="center"/>
          </w:tcPr>
          <w:p w:rsidR="00775E5A" w:rsidRDefault="00775E5A" w:rsidP="00140EB7">
            <w:pPr>
              <w:pStyle w:val="NoSpacing"/>
              <w:jc w:val="center"/>
            </w:pPr>
            <w:r>
              <w:t>41</w:t>
            </w:r>
          </w:p>
        </w:tc>
        <w:tc>
          <w:tcPr>
            <w:tcW w:w="1080" w:type="dxa"/>
            <w:shd w:val="clear" w:color="auto" w:fill="E6EED5"/>
            <w:noWrap/>
            <w:vAlign w:val="center"/>
          </w:tcPr>
          <w:p w:rsidR="00775E5A" w:rsidRDefault="00775E5A" w:rsidP="00140EB7">
            <w:pPr>
              <w:pStyle w:val="NoSpacing"/>
              <w:jc w:val="center"/>
            </w:pPr>
            <w:r>
              <w:t>12</w:t>
            </w:r>
          </w:p>
        </w:tc>
        <w:tc>
          <w:tcPr>
            <w:tcW w:w="1080" w:type="dxa"/>
            <w:shd w:val="clear" w:color="auto" w:fill="E6EED5"/>
            <w:noWrap/>
            <w:vAlign w:val="center"/>
          </w:tcPr>
          <w:p w:rsidR="00775E5A" w:rsidRDefault="00775E5A" w:rsidP="00140EB7">
            <w:pPr>
              <w:pStyle w:val="NoSpacing"/>
              <w:jc w:val="center"/>
            </w:pPr>
            <w:r>
              <w:t>8</w:t>
            </w:r>
          </w:p>
        </w:tc>
        <w:tc>
          <w:tcPr>
            <w:tcW w:w="1080" w:type="dxa"/>
            <w:shd w:val="clear" w:color="auto" w:fill="E6EED5"/>
            <w:noWrap/>
            <w:vAlign w:val="center"/>
          </w:tcPr>
          <w:p w:rsidR="00775E5A" w:rsidRDefault="00775E5A" w:rsidP="00140EB7">
            <w:pPr>
              <w:pStyle w:val="NoSpacing"/>
              <w:jc w:val="center"/>
            </w:pPr>
            <w:r>
              <w:t>8</w:t>
            </w:r>
          </w:p>
        </w:tc>
        <w:tc>
          <w:tcPr>
            <w:tcW w:w="1170" w:type="dxa"/>
            <w:shd w:val="clear" w:color="auto" w:fill="E6EED5"/>
            <w:noWrap/>
            <w:vAlign w:val="center"/>
          </w:tcPr>
          <w:p w:rsidR="00775E5A" w:rsidRDefault="00775E5A" w:rsidP="00140EB7">
            <w:pPr>
              <w:pStyle w:val="NoSpacing"/>
              <w:jc w:val="center"/>
            </w:pPr>
            <w:r>
              <w:t>9</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Certificate requiring 30 to &lt; 60 semester units             </w:t>
            </w:r>
          </w:p>
        </w:tc>
        <w:tc>
          <w:tcPr>
            <w:tcW w:w="990" w:type="dxa"/>
            <w:shd w:val="clear" w:color="auto" w:fill="E6EED5"/>
            <w:noWrap/>
            <w:vAlign w:val="center"/>
          </w:tcPr>
          <w:p w:rsidR="00775E5A" w:rsidRDefault="00775E5A" w:rsidP="00140EB7">
            <w:pPr>
              <w:pStyle w:val="NoSpacing"/>
              <w:jc w:val="center"/>
            </w:pPr>
            <w:r>
              <w:t>39</w:t>
            </w:r>
          </w:p>
        </w:tc>
        <w:tc>
          <w:tcPr>
            <w:tcW w:w="1080" w:type="dxa"/>
            <w:shd w:val="clear" w:color="auto" w:fill="E6EED5"/>
            <w:noWrap/>
            <w:vAlign w:val="center"/>
          </w:tcPr>
          <w:p w:rsidR="00775E5A" w:rsidRDefault="00775E5A" w:rsidP="00140EB7">
            <w:pPr>
              <w:pStyle w:val="NoSpacing"/>
              <w:jc w:val="center"/>
            </w:pPr>
            <w:r>
              <w:t>20</w:t>
            </w:r>
          </w:p>
        </w:tc>
        <w:tc>
          <w:tcPr>
            <w:tcW w:w="1080" w:type="dxa"/>
            <w:shd w:val="clear" w:color="auto" w:fill="E6EED5"/>
            <w:noWrap/>
            <w:vAlign w:val="center"/>
          </w:tcPr>
          <w:p w:rsidR="00775E5A" w:rsidRDefault="00775E5A" w:rsidP="00140EB7">
            <w:pPr>
              <w:pStyle w:val="NoSpacing"/>
              <w:jc w:val="center"/>
            </w:pPr>
            <w:r>
              <w:t>28</w:t>
            </w:r>
          </w:p>
        </w:tc>
        <w:tc>
          <w:tcPr>
            <w:tcW w:w="1080" w:type="dxa"/>
            <w:shd w:val="clear" w:color="auto" w:fill="E6EED5"/>
            <w:noWrap/>
            <w:vAlign w:val="center"/>
          </w:tcPr>
          <w:p w:rsidR="00775E5A" w:rsidRDefault="00775E5A" w:rsidP="00140EB7">
            <w:pPr>
              <w:pStyle w:val="NoSpacing"/>
              <w:jc w:val="center"/>
            </w:pPr>
            <w:r>
              <w:t>34</w:t>
            </w:r>
          </w:p>
        </w:tc>
        <w:tc>
          <w:tcPr>
            <w:tcW w:w="1170" w:type="dxa"/>
            <w:shd w:val="clear" w:color="auto" w:fill="E6EED5"/>
            <w:noWrap/>
            <w:vAlign w:val="center"/>
          </w:tcPr>
          <w:p w:rsidR="00775E5A" w:rsidRDefault="00775E5A" w:rsidP="00140EB7">
            <w:pPr>
              <w:pStyle w:val="NoSpacing"/>
              <w:jc w:val="center"/>
            </w:pPr>
            <w:r>
              <w:t>29</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Certificate requiring 18 to &lt; 30 semester units             </w:t>
            </w:r>
          </w:p>
        </w:tc>
        <w:tc>
          <w:tcPr>
            <w:tcW w:w="990" w:type="dxa"/>
            <w:shd w:val="clear" w:color="auto" w:fill="E6EED5"/>
            <w:noWrap/>
            <w:vAlign w:val="center"/>
          </w:tcPr>
          <w:p w:rsidR="00775E5A" w:rsidRDefault="00775E5A" w:rsidP="00140EB7">
            <w:pPr>
              <w:pStyle w:val="NoSpacing"/>
              <w:jc w:val="center"/>
            </w:pPr>
            <w:r>
              <w:t>6</w:t>
            </w:r>
          </w:p>
        </w:tc>
        <w:tc>
          <w:tcPr>
            <w:tcW w:w="1080" w:type="dxa"/>
            <w:shd w:val="clear" w:color="auto" w:fill="E6EED5"/>
            <w:noWrap/>
            <w:vAlign w:val="center"/>
          </w:tcPr>
          <w:p w:rsidR="00775E5A" w:rsidRDefault="00775E5A" w:rsidP="00140EB7">
            <w:pPr>
              <w:pStyle w:val="NoSpacing"/>
              <w:jc w:val="center"/>
            </w:pPr>
            <w:r>
              <w:t>2</w:t>
            </w:r>
          </w:p>
        </w:tc>
        <w:tc>
          <w:tcPr>
            <w:tcW w:w="1080" w:type="dxa"/>
            <w:shd w:val="clear" w:color="auto" w:fill="E6EED5"/>
            <w:noWrap/>
            <w:vAlign w:val="center"/>
          </w:tcPr>
          <w:p w:rsidR="00775E5A" w:rsidRDefault="00775E5A" w:rsidP="00140EB7">
            <w:pPr>
              <w:pStyle w:val="NoSpacing"/>
              <w:jc w:val="center"/>
            </w:pPr>
            <w:r>
              <w:t>4</w:t>
            </w:r>
          </w:p>
        </w:tc>
        <w:tc>
          <w:tcPr>
            <w:tcW w:w="1080" w:type="dxa"/>
            <w:shd w:val="clear" w:color="auto" w:fill="E6EED5"/>
            <w:noWrap/>
            <w:vAlign w:val="center"/>
          </w:tcPr>
          <w:p w:rsidR="00775E5A" w:rsidRDefault="00775E5A" w:rsidP="00140EB7">
            <w:pPr>
              <w:pStyle w:val="NoSpacing"/>
              <w:jc w:val="center"/>
            </w:pPr>
            <w:r>
              <w:t>2</w:t>
            </w:r>
          </w:p>
        </w:tc>
        <w:tc>
          <w:tcPr>
            <w:tcW w:w="1170" w:type="dxa"/>
            <w:shd w:val="clear" w:color="auto" w:fill="E6EED5"/>
            <w:noWrap/>
            <w:vAlign w:val="center"/>
          </w:tcPr>
          <w:p w:rsidR="00775E5A" w:rsidRDefault="00775E5A" w:rsidP="00140EB7">
            <w:pPr>
              <w:pStyle w:val="NoSpacing"/>
              <w:jc w:val="center"/>
            </w:pPr>
            <w:r>
              <w:t>4</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Certificate requiring 6 to &lt; 18 semester units              </w:t>
            </w:r>
          </w:p>
        </w:tc>
        <w:tc>
          <w:tcPr>
            <w:tcW w:w="990" w:type="dxa"/>
            <w:shd w:val="clear" w:color="auto" w:fill="E6EED5"/>
            <w:noWrap/>
            <w:vAlign w:val="center"/>
          </w:tcPr>
          <w:p w:rsidR="00775E5A" w:rsidRDefault="00775E5A" w:rsidP="00140EB7">
            <w:pPr>
              <w:pStyle w:val="NoSpacing"/>
              <w:jc w:val="center"/>
            </w:pPr>
            <w:r>
              <w:t>195</w:t>
            </w:r>
          </w:p>
        </w:tc>
        <w:tc>
          <w:tcPr>
            <w:tcW w:w="1080" w:type="dxa"/>
            <w:shd w:val="clear" w:color="auto" w:fill="E6EED5"/>
            <w:noWrap/>
            <w:vAlign w:val="center"/>
          </w:tcPr>
          <w:p w:rsidR="00775E5A" w:rsidRDefault="00775E5A" w:rsidP="00140EB7">
            <w:pPr>
              <w:pStyle w:val="NoSpacing"/>
              <w:jc w:val="center"/>
            </w:pPr>
            <w:r>
              <w:t>268</w:t>
            </w:r>
          </w:p>
        </w:tc>
        <w:tc>
          <w:tcPr>
            <w:tcW w:w="1080" w:type="dxa"/>
            <w:shd w:val="clear" w:color="auto" w:fill="E6EED5"/>
            <w:noWrap/>
            <w:vAlign w:val="center"/>
          </w:tcPr>
          <w:p w:rsidR="00775E5A" w:rsidRDefault="00775E5A" w:rsidP="00140EB7">
            <w:pPr>
              <w:pStyle w:val="NoSpacing"/>
              <w:jc w:val="center"/>
            </w:pPr>
            <w:r>
              <w:t>178</w:t>
            </w:r>
          </w:p>
        </w:tc>
        <w:tc>
          <w:tcPr>
            <w:tcW w:w="1080" w:type="dxa"/>
            <w:shd w:val="clear" w:color="auto" w:fill="E6EED5"/>
            <w:noWrap/>
            <w:vAlign w:val="center"/>
          </w:tcPr>
          <w:p w:rsidR="00775E5A" w:rsidRDefault="00775E5A" w:rsidP="00140EB7">
            <w:pPr>
              <w:pStyle w:val="NoSpacing"/>
              <w:jc w:val="center"/>
            </w:pPr>
            <w:r>
              <w:t>268</w:t>
            </w:r>
          </w:p>
        </w:tc>
        <w:tc>
          <w:tcPr>
            <w:tcW w:w="1170" w:type="dxa"/>
            <w:shd w:val="clear" w:color="auto" w:fill="E6EED5"/>
            <w:noWrap/>
            <w:vAlign w:val="center"/>
          </w:tcPr>
          <w:p w:rsidR="00775E5A" w:rsidRDefault="00775E5A" w:rsidP="00140EB7">
            <w:pPr>
              <w:pStyle w:val="NoSpacing"/>
              <w:jc w:val="center"/>
            </w:pPr>
            <w:r>
              <w:t>275</w:t>
            </w:r>
          </w:p>
        </w:tc>
      </w:tr>
      <w:tr w:rsidR="00775E5A" w:rsidTr="00140EB7">
        <w:trPr>
          <w:trHeight w:val="304"/>
        </w:trPr>
        <w:tc>
          <w:tcPr>
            <w:tcW w:w="4770" w:type="dxa"/>
            <w:shd w:val="clear" w:color="auto" w:fill="E6EED5"/>
            <w:noWrap/>
            <w:vAlign w:val="center"/>
          </w:tcPr>
          <w:p w:rsidR="00775E5A" w:rsidRDefault="00775E5A" w:rsidP="00140EB7">
            <w:pPr>
              <w:pStyle w:val="NoSpacing"/>
            </w:pPr>
            <w:r>
              <w:t xml:space="preserve">Other Credit Award, &lt; 6 semester units                      </w:t>
            </w:r>
          </w:p>
        </w:tc>
        <w:tc>
          <w:tcPr>
            <w:tcW w:w="990" w:type="dxa"/>
            <w:shd w:val="clear" w:color="auto" w:fill="E6EED5"/>
            <w:noWrap/>
            <w:vAlign w:val="center"/>
          </w:tcPr>
          <w:p w:rsidR="00775E5A" w:rsidRDefault="00775E5A" w:rsidP="00140EB7">
            <w:pPr>
              <w:pStyle w:val="NoSpacing"/>
              <w:jc w:val="center"/>
            </w:pPr>
            <w:r>
              <w:t>79</w:t>
            </w:r>
          </w:p>
        </w:tc>
        <w:tc>
          <w:tcPr>
            <w:tcW w:w="1080" w:type="dxa"/>
            <w:shd w:val="clear" w:color="auto" w:fill="E6EED5"/>
            <w:noWrap/>
            <w:vAlign w:val="center"/>
          </w:tcPr>
          <w:p w:rsidR="00775E5A" w:rsidRDefault="00775E5A" w:rsidP="00140EB7">
            <w:pPr>
              <w:pStyle w:val="NoSpacing"/>
              <w:jc w:val="center"/>
            </w:pPr>
            <w:r>
              <w:t>0</w:t>
            </w:r>
          </w:p>
        </w:tc>
        <w:tc>
          <w:tcPr>
            <w:tcW w:w="1080" w:type="dxa"/>
            <w:shd w:val="clear" w:color="auto" w:fill="E6EED5"/>
            <w:noWrap/>
            <w:vAlign w:val="center"/>
          </w:tcPr>
          <w:p w:rsidR="00775E5A" w:rsidRDefault="00775E5A" w:rsidP="00140EB7">
            <w:pPr>
              <w:pStyle w:val="NoSpacing"/>
              <w:jc w:val="center"/>
            </w:pPr>
            <w:r>
              <w:t>72</w:t>
            </w:r>
          </w:p>
        </w:tc>
        <w:tc>
          <w:tcPr>
            <w:tcW w:w="1080" w:type="dxa"/>
            <w:shd w:val="clear" w:color="auto" w:fill="E6EED5"/>
            <w:noWrap/>
            <w:vAlign w:val="center"/>
          </w:tcPr>
          <w:p w:rsidR="00775E5A" w:rsidRDefault="00775E5A" w:rsidP="00140EB7">
            <w:pPr>
              <w:pStyle w:val="NoSpacing"/>
              <w:jc w:val="center"/>
            </w:pPr>
            <w:r>
              <w:t>3</w:t>
            </w:r>
          </w:p>
        </w:tc>
        <w:tc>
          <w:tcPr>
            <w:tcW w:w="1170" w:type="dxa"/>
            <w:shd w:val="clear" w:color="auto" w:fill="E6EED5"/>
            <w:noWrap/>
            <w:vAlign w:val="center"/>
          </w:tcPr>
          <w:p w:rsidR="00775E5A" w:rsidRDefault="00775E5A" w:rsidP="00140EB7">
            <w:pPr>
              <w:pStyle w:val="NoSpacing"/>
              <w:jc w:val="center"/>
            </w:pPr>
            <w:r>
              <w:t>0</w:t>
            </w:r>
          </w:p>
        </w:tc>
      </w:tr>
      <w:tr w:rsidR="00775E5A" w:rsidTr="00140EB7">
        <w:trPr>
          <w:trHeight w:val="304"/>
        </w:trPr>
        <w:tc>
          <w:tcPr>
            <w:tcW w:w="4770" w:type="dxa"/>
            <w:shd w:val="clear" w:color="auto" w:fill="BFBFBF" w:themeFill="background1" w:themeFillShade="BF"/>
            <w:noWrap/>
            <w:vAlign w:val="center"/>
          </w:tcPr>
          <w:p w:rsidR="00775E5A" w:rsidRDefault="00775E5A" w:rsidP="00140EB7">
            <w:pPr>
              <w:pStyle w:val="NoSpacing"/>
              <w:rPr>
                <w:b/>
                <w:bCs/>
              </w:rPr>
            </w:pPr>
            <w:r>
              <w:rPr>
                <w:b/>
                <w:bCs/>
              </w:rPr>
              <w:t>Total Degrees / Certificates Awarded</w:t>
            </w:r>
          </w:p>
        </w:tc>
        <w:tc>
          <w:tcPr>
            <w:tcW w:w="990" w:type="dxa"/>
            <w:shd w:val="clear" w:color="auto" w:fill="BFBFBF" w:themeFill="background1" w:themeFillShade="BF"/>
            <w:noWrap/>
            <w:vAlign w:val="center"/>
          </w:tcPr>
          <w:p w:rsidR="00775E5A" w:rsidRDefault="00775E5A" w:rsidP="00140EB7">
            <w:pPr>
              <w:pStyle w:val="NoSpacing"/>
              <w:jc w:val="center"/>
              <w:rPr>
                <w:b/>
                <w:bCs/>
              </w:rPr>
            </w:pPr>
            <w:r>
              <w:rPr>
                <w:b/>
                <w:bCs/>
              </w:rPr>
              <w:t>718</w:t>
            </w:r>
          </w:p>
        </w:tc>
        <w:tc>
          <w:tcPr>
            <w:tcW w:w="1080" w:type="dxa"/>
            <w:shd w:val="clear" w:color="auto" w:fill="BFBFBF" w:themeFill="background1" w:themeFillShade="BF"/>
            <w:noWrap/>
            <w:vAlign w:val="center"/>
          </w:tcPr>
          <w:p w:rsidR="00775E5A" w:rsidRDefault="00775E5A" w:rsidP="00140EB7">
            <w:pPr>
              <w:pStyle w:val="NoSpacing"/>
              <w:jc w:val="center"/>
              <w:rPr>
                <w:b/>
                <w:bCs/>
              </w:rPr>
            </w:pPr>
            <w:r>
              <w:rPr>
                <w:b/>
                <w:bCs/>
              </w:rPr>
              <w:t>634</w:t>
            </w:r>
          </w:p>
        </w:tc>
        <w:tc>
          <w:tcPr>
            <w:tcW w:w="1080" w:type="dxa"/>
            <w:shd w:val="clear" w:color="auto" w:fill="BFBFBF" w:themeFill="background1" w:themeFillShade="BF"/>
            <w:noWrap/>
            <w:vAlign w:val="center"/>
          </w:tcPr>
          <w:p w:rsidR="00775E5A" w:rsidRDefault="00775E5A" w:rsidP="00140EB7">
            <w:pPr>
              <w:pStyle w:val="NoSpacing"/>
              <w:jc w:val="center"/>
              <w:rPr>
                <w:b/>
                <w:bCs/>
              </w:rPr>
            </w:pPr>
            <w:r>
              <w:rPr>
                <w:b/>
                <w:bCs/>
              </w:rPr>
              <w:t>730</w:t>
            </w:r>
          </w:p>
        </w:tc>
        <w:tc>
          <w:tcPr>
            <w:tcW w:w="1080" w:type="dxa"/>
            <w:shd w:val="clear" w:color="auto" w:fill="BFBFBF" w:themeFill="background1" w:themeFillShade="BF"/>
            <w:noWrap/>
            <w:vAlign w:val="center"/>
          </w:tcPr>
          <w:p w:rsidR="00775E5A" w:rsidRDefault="00775E5A" w:rsidP="00140EB7">
            <w:pPr>
              <w:pStyle w:val="NoSpacing"/>
              <w:jc w:val="center"/>
              <w:rPr>
                <w:b/>
                <w:bCs/>
              </w:rPr>
            </w:pPr>
            <w:r>
              <w:rPr>
                <w:b/>
                <w:bCs/>
              </w:rPr>
              <w:t>823</w:t>
            </w:r>
          </w:p>
        </w:tc>
        <w:tc>
          <w:tcPr>
            <w:tcW w:w="1170" w:type="dxa"/>
            <w:shd w:val="clear" w:color="auto" w:fill="BFBFBF" w:themeFill="background1" w:themeFillShade="BF"/>
            <w:noWrap/>
            <w:vAlign w:val="center"/>
          </w:tcPr>
          <w:p w:rsidR="00775E5A" w:rsidRDefault="00775E5A" w:rsidP="00140EB7">
            <w:pPr>
              <w:pStyle w:val="NoSpacing"/>
              <w:jc w:val="center"/>
              <w:rPr>
                <w:b/>
                <w:bCs/>
              </w:rPr>
            </w:pPr>
            <w:r>
              <w:rPr>
                <w:b/>
                <w:bCs/>
              </w:rPr>
              <w:t>937</w:t>
            </w:r>
          </w:p>
        </w:tc>
      </w:tr>
    </w:tbl>
    <w:p w:rsidR="00AD14B6" w:rsidRDefault="00775E5A" w:rsidP="00AD14B6">
      <w:pPr>
        <w:pStyle w:val="NoSpacing"/>
        <w:jc w:val="both"/>
        <w:rPr>
          <w:i/>
          <w:sz w:val="20"/>
          <w:szCs w:val="20"/>
        </w:rPr>
      </w:pPr>
      <w:r>
        <w:rPr>
          <w:i/>
          <w:sz w:val="20"/>
          <w:szCs w:val="20"/>
        </w:rPr>
        <w:t xml:space="preserve">Source: California Community Colleges Chancellor’s Office – </w:t>
      </w:r>
      <w:proofErr w:type="spellStart"/>
      <w:r>
        <w:rPr>
          <w:i/>
          <w:sz w:val="20"/>
          <w:szCs w:val="20"/>
        </w:rPr>
        <w:t>Datamart</w:t>
      </w:r>
      <w:proofErr w:type="spellEnd"/>
    </w:p>
    <w:p w:rsidR="00AD14B6" w:rsidRDefault="00AD14B6" w:rsidP="00AD14B6">
      <w:pPr>
        <w:pStyle w:val="NoSpacing"/>
        <w:jc w:val="both"/>
        <w:rPr>
          <w:i/>
          <w:sz w:val="20"/>
          <w:szCs w:val="20"/>
        </w:rPr>
      </w:pPr>
    </w:p>
    <w:p w:rsidR="00775E5A" w:rsidRPr="00AD14B6" w:rsidRDefault="00775E5A" w:rsidP="00AD14B6">
      <w:pPr>
        <w:pStyle w:val="NoSpacing"/>
        <w:jc w:val="both"/>
        <w:rPr>
          <w:i/>
          <w:sz w:val="20"/>
          <w:szCs w:val="20"/>
        </w:rPr>
      </w:pPr>
      <w:r>
        <w:t>Completion rate or student progress and attainment rate (SPAR) may be defined as the percentage of first-time students with minimum of 6 units earned who attempted any Math or English in the first three years and achieved any of the following outcomes within six years of entry:</w:t>
      </w:r>
    </w:p>
    <w:p w:rsidR="00775E5A" w:rsidRDefault="00775E5A" w:rsidP="00E30CA3">
      <w:pPr>
        <w:pStyle w:val="NoSpacing"/>
        <w:numPr>
          <w:ilvl w:val="0"/>
          <w:numId w:val="44"/>
        </w:numPr>
        <w:jc w:val="both"/>
      </w:pPr>
      <w:r>
        <w:t>Earned an AA/AS or credit Certificate (Chancellor’s Office approved)</w:t>
      </w:r>
    </w:p>
    <w:p w:rsidR="00775E5A" w:rsidRDefault="00775E5A" w:rsidP="00E30CA3">
      <w:pPr>
        <w:pStyle w:val="NoSpacing"/>
        <w:numPr>
          <w:ilvl w:val="0"/>
          <w:numId w:val="44"/>
        </w:numPr>
        <w:jc w:val="both"/>
      </w:pPr>
      <w:r>
        <w:t>Transfer to a four-year institution</w:t>
      </w:r>
    </w:p>
    <w:p w:rsidR="00775E5A" w:rsidRDefault="00775E5A" w:rsidP="00E30CA3">
      <w:pPr>
        <w:pStyle w:val="NoSpacing"/>
        <w:numPr>
          <w:ilvl w:val="0"/>
          <w:numId w:val="44"/>
        </w:numPr>
        <w:spacing w:after="120"/>
        <w:jc w:val="both"/>
      </w:pPr>
      <w:r>
        <w:t>Achieved “transfer prepared” status (successful completion of 60 UC/CSU transferrable units with a GPA &gt;=2.0)</w:t>
      </w:r>
    </w:p>
    <w:p w:rsidR="00775E5A" w:rsidRDefault="00775E5A" w:rsidP="00775E5A">
      <w:pPr>
        <w:pStyle w:val="NoSpacing"/>
        <w:jc w:val="both"/>
      </w:pPr>
      <w:r>
        <w:t xml:space="preserve">Student cohorts from 2004-05 to 2008-09, had an average completion rate of 40.8% within 6 years, while the </w:t>
      </w:r>
      <w:r w:rsidR="00FB6DA3">
        <w:t>State</w:t>
      </w:r>
      <w:r>
        <w:t xml:space="preserve">wide average completion rate was 48.3%.  During the same time period, the average gap between CHC’s completion rate and the </w:t>
      </w:r>
      <w:r w:rsidR="00FB6DA3">
        <w:t>State-wide</w:t>
      </w:r>
      <w:r>
        <w:t xml:space="preserve"> average completion rate was 7.5%.</w:t>
      </w:r>
    </w:p>
    <w:p w:rsidR="00775E5A" w:rsidRPr="009C274A" w:rsidRDefault="00775E5A" w:rsidP="00775E5A">
      <w:pPr>
        <w:pStyle w:val="NoSpacing"/>
        <w:jc w:val="center"/>
        <w:rPr>
          <w:b/>
          <w:color w:val="00823B"/>
        </w:rPr>
      </w:pPr>
      <w:r w:rsidRPr="009C274A">
        <w:rPr>
          <w:b/>
          <w:color w:val="00823B"/>
        </w:rPr>
        <w:lastRenderedPageBreak/>
        <w:t>Exhibit 2.XX Completion / Student Progress &amp; Attainment Rate (SPAR)</w:t>
      </w:r>
    </w:p>
    <w:p w:rsidR="00775E5A" w:rsidRDefault="00775E5A" w:rsidP="00775E5A">
      <w:pPr>
        <w:pStyle w:val="NoSpacing"/>
        <w:ind w:left="-720"/>
        <w:jc w:val="both"/>
      </w:pPr>
      <w:r>
        <w:rPr>
          <w:noProof/>
          <w:lang w:eastAsia="en-US"/>
        </w:rPr>
        <w:drawing>
          <wp:inline distT="0" distB="0" distL="0" distR="0">
            <wp:extent cx="6838950" cy="1981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5E5A" w:rsidRDefault="00775E5A" w:rsidP="00775E5A">
      <w:pPr>
        <w:pStyle w:val="NoSpacing"/>
        <w:jc w:val="both"/>
        <w:rPr>
          <w:i/>
          <w:sz w:val="20"/>
          <w:szCs w:val="20"/>
        </w:rPr>
      </w:pPr>
      <w:r>
        <w:rPr>
          <w:i/>
          <w:sz w:val="20"/>
          <w:szCs w:val="20"/>
        </w:rPr>
        <w:t xml:space="preserve">Source: California Community Colleges Chancellor’s Office – </w:t>
      </w:r>
      <w:proofErr w:type="spellStart"/>
      <w:r>
        <w:rPr>
          <w:i/>
          <w:sz w:val="20"/>
          <w:szCs w:val="20"/>
        </w:rPr>
        <w:t>Datamart</w:t>
      </w:r>
      <w:proofErr w:type="spellEnd"/>
    </w:p>
    <w:p w:rsidR="00AD14B6" w:rsidRDefault="00AD14B6" w:rsidP="00775E5A">
      <w:pPr>
        <w:pStyle w:val="NoSpacing"/>
        <w:jc w:val="both"/>
      </w:pPr>
    </w:p>
    <w:p w:rsidR="00775E5A" w:rsidRPr="000951B7" w:rsidRDefault="00775E5A" w:rsidP="00775E5A">
      <w:pPr>
        <w:pStyle w:val="NoSpacing"/>
        <w:jc w:val="both"/>
      </w:pPr>
      <w:r>
        <w:t xml:space="preserve">CHC transfer volume most recently peaked in 2011-12 with 512 total transfers.  From 2009-10 to 2013-14, the average proportion of California </w:t>
      </w:r>
      <w:r w:rsidR="00FB6DA3">
        <w:t>State</w:t>
      </w:r>
      <w:r>
        <w:t xml:space="preserve"> University (CSU) transfers was 45.2%, the average proportion of In-</w:t>
      </w:r>
      <w:r w:rsidR="00FB6DA3">
        <w:t>State</w:t>
      </w:r>
      <w:r>
        <w:t xml:space="preserve"> private school transfers was 27.3%, the average proportion of out-of-</w:t>
      </w:r>
      <w:r w:rsidR="00FB6DA3">
        <w:t>State</w:t>
      </w:r>
      <w:r>
        <w:t xml:space="preserve"> transfers was 19.3% and the average proportion of University of California (UC) transfers was 8.1%.  During the same time period, total transfer volume at CHC increased by 60 students (14.4%).</w:t>
      </w:r>
    </w:p>
    <w:p w:rsidR="00775E5A" w:rsidRDefault="00775E5A" w:rsidP="00775E5A">
      <w:pPr>
        <w:pStyle w:val="NoSpacing"/>
        <w:jc w:val="center"/>
        <w:rPr>
          <w:b/>
          <w:color w:val="00823B"/>
        </w:rPr>
      </w:pPr>
    </w:p>
    <w:p w:rsidR="00775E5A" w:rsidRPr="000951B7" w:rsidRDefault="00775E5A" w:rsidP="00775E5A">
      <w:pPr>
        <w:pStyle w:val="NoSpacing"/>
        <w:jc w:val="center"/>
        <w:rPr>
          <w:b/>
          <w:color w:val="00823B"/>
        </w:rPr>
      </w:pPr>
      <w:r w:rsidRPr="00660191">
        <w:rPr>
          <w:b/>
          <w:color w:val="00823B"/>
        </w:rPr>
        <w:t>Exhibit</w:t>
      </w:r>
      <w:r w:rsidRPr="000951B7">
        <w:rPr>
          <w:b/>
          <w:color w:val="00823B"/>
        </w:rPr>
        <w:t xml:space="preserve"> 2.XX Transfer Volume</w:t>
      </w:r>
    </w:p>
    <w:p w:rsidR="00775E5A" w:rsidRDefault="00775E5A" w:rsidP="00775E5A">
      <w:pPr>
        <w:pStyle w:val="NoSpacing"/>
        <w:ind w:left="-720" w:right="-720"/>
        <w:jc w:val="both"/>
      </w:pPr>
      <w:r w:rsidRPr="000951B7">
        <w:rPr>
          <w:noProof/>
          <w:lang w:eastAsia="en-US"/>
        </w:rPr>
        <w:drawing>
          <wp:inline distT="0" distB="0" distL="0" distR="0">
            <wp:extent cx="6838950" cy="2628900"/>
            <wp:effectExtent l="0" t="0" r="190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5E5A" w:rsidRDefault="00775E5A" w:rsidP="00775E5A">
      <w:pPr>
        <w:pStyle w:val="NoSpacing"/>
        <w:jc w:val="both"/>
        <w:rPr>
          <w:i/>
          <w:sz w:val="20"/>
          <w:szCs w:val="20"/>
        </w:rPr>
      </w:pPr>
      <w:r w:rsidRPr="000A4D66">
        <w:rPr>
          <w:i/>
          <w:sz w:val="20"/>
          <w:szCs w:val="20"/>
        </w:rPr>
        <w:t xml:space="preserve">Source: </w:t>
      </w:r>
      <w:r>
        <w:rPr>
          <w:i/>
          <w:sz w:val="20"/>
          <w:szCs w:val="20"/>
        </w:rPr>
        <w:t xml:space="preserve">California Community Colleges Chancellor’s Office – </w:t>
      </w:r>
      <w:proofErr w:type="spellStart"/>
      <w:r>
        <w:rPr>
          <w:i/>
          <w:sz w:val="20"/>
          <w:szCs w:val="20"/>
        </w:rPr>
        <w:t>Datamart</w:t>
      </w:r>
      <w:proofErr w:type="spellEnd"/>
    </w:p>
    <w:p w:rsidR="00775E5A" w:rsidRDefault="00775E5A" w:rsidP="00775E5A">
      <w:pPr>
        <w:pStyle w:val="NoSpacing"/>
        <w:ind w:right="-720"/>
        <w:jc w:val="both"/>
      </w:pPr>
    </w:p>
    <w:p w:rsidR="00775E5A" w:rsidRPr="00660191" w:rsidRDefault="00775E5A" w:rsidP="00775E5A">
      <w:pPr>
        <w:pStyle w:val="NoSpacing"/>
        <w:ind w:right="-720"/>
        <w:jc w:val="both"/>
        <w:rPr>
          <w:b/>
          <w:color w:val="00823B"/>
        </w:rPr>
      </w:pPr>
      <w:r w:rsidRPr="00660191">
        <w:rPr>
          <w:b/>
          <w:color w:val="00823B"/>
        </w:rPr>
        <w:t>Employee Demographics</w:t>
      </w:r>
    </w:p>
    <w:p w:rsidR="00775E5A" w:rsidRDefault="00775E5A" w:rsidP="00775E5A">
      <w:pPr>
        <w:pStyle w:val="NoSpacing"/>
        <w:jc w:val="both"/>
      </w:pPr>
      <w:r>
        <w:t xml:space="preserve">From fall 2010 to fall 2014, the average proportion of adjunct faculty at CHC was 46.9%, classified/confidential employees accounted for an average of 27% of all employees, the average proportion of full-time faculty was 20.8% and managers accounted for an average of 5.3% of all employees.  Full-time faculty increased by 1.4% (1 employee) over the same five fall terms, while adjunct faculty increased by 39.5% (58 employees), classified/confidential employees decreased by 6.5% (-6 employees) and managers increased by 33.3% (5 employees).  From fall 2010 to fall 2014, the total number of employees at CHC increased by 18% (58 employees).  In fall 2014, 25.5% of the College’s </w:t>
      </w:r>
      <w:proofErr w:type="gramStart"/>
      <w:r>
        <w:t>faculty were</w:t>
      </w:r>
      <w:proofErr w:type="gramEnd"/>
      <w:r>
        <w:t xml:space="preserve"> full-time employees (70 full-time faculty of 275 total faculty). </w:t>
      </w:r>
    </w:p>
    <w:p w:rsidR="00775E5A" w:rsidRDefault="00775E5A" w:rsidP="00775E5A">
      <w:pPr>
        <w:pStyle w:val="NoSpacing"/>
        <w:jc w:val="both"/>
      </w:pPr>
    </w:p>
    <w:p w:rsidR="00775E5A" w:rsidRDefault="00775E5A" w:rsidP="00775E5A">
      <w:pPr>
        <w:pStyle w:val="NoSpacing"/>
        <w:jc w:val="center"/>
        <w:rPr>
          <w:b/>
          <w:color w:val="00823B"/>
        </w:rPr>
      </w:pPr>
      <w:r w:rsidRPr="002617DE">
        <w:rPr>
          <w:b/>
          <w:color w:val="00823B"/>
        </w:rPr>
        <w:t>Exhibit 2.XX Unduplicated Employees by Type (Fall Term)</w:t>
      </w:r>
    </w:p>
    <w:p w:rsidR="00775E5A" w:rsidRDefault="00775E5A" w:rsidP="00775E5A">
      <w:pPr>
        <w:pStyle w:val="NoSpacing"/>
        <w:ind w:left="-720" w:right="-720"/>
        <w:rPr>
          <w:b/>
          <w:color w:val="00823B"/>
        </w:rPr>
      </w:pPr>
      <w:r>
        <w:rPr>
          <w:noProof/>
          <w:lang w:eastAsia="en-US"/>
        </w:rPr>
        <w:drawing>
          <wp:inline distT="0" distB="0" distL="0" distR="0">
            <wp:extent cx="6734175" cy="25050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AD14B6" w:rsidRDefault="00AD14B6" w:rsidP="00775E5A">
      <w:pPr>
        <w:pStyle w:val="NoSpacing"/>
        <w:jc w:val="both"/>
      </w:pPr>
    </w:p>
    <w:p w:rsidR="00775E5A" w:rsidRDefault="00775E5A" w:rsidP="00775E5A">
      <w:pPr>
        <w:pStyle w:val="NoSpacing"/>
        <w:jc w:val="both"/>
      </w:pPr>
      <w:r>
        <w:t>From fall 2010 to fall 2014, employees age 18-34 years old increased by 37.9% (25 employees) and employees age 60-64 years old increased by 45.8% (11 employees).  During the same time, employees age 50-54 decreased by 13.2% (-7 employees).  In fall 2014, 105 employees were within the 50-59 age group (27.6%) and 56 employees were age 60 or older (14.7%).  Employee data by age group suggests that it may be reasonable to expect approximately 42% of the College’s employees to retire within the next 15 years.</w:t>
      </w:r>
    </w:p>
    <w:p w:rsidR="00775E5A" w:rsidRDefault="00775E5A" w:rsidP="00775E5A">
      <w:pPr>
        <w:pStyle w:val="NoSpacing"/>
        <w:jc w:val="both"/>
      </w:pPr>
    </w:p>
    <w:p w:rsidR="00775E5A" w:rsidRPr="0057697F" w:rsidRDefault="00775E5A" w:rsidP="00775E5A">
      <w:pPr>
        <w:pStyle w:val="NoSpacing"/>
        <w:jc w:val="center"/>
      </w:pPr>
      <w:r>
        <w:rPr>
          <w:b/>
          <w:color w:val="00823B"/>
        </w:rPr>
        <w:t>Exhibit 2.XX Unduplicated Employees by Age (Start of Fall Term)</w:t>
      </w:r>
    </w:p>
    <w:p w:rsidR="00775E5A" w:rsidRPr="002617DE" w:rsidRDefault="00775E5A" w:rsidP="00775E5A">
      <w:pPr>
        <w:pStyle w:val="NoSpacing"/>
        <w:ind w:left="-720" w:right="-720"/>
        <w:rPr>
          <w:b/>
          <w:color w:val="00823B"/>
        </w:rPr>
      </w:pPr>
      <w:r>
        <w:rPr>
          <w:noProof/>
          <w:lang w:eastAsia="en-US"/>
        </w:rPr>
        <w:drawing>
          <wp:inline distT="0" distB="0" distL="0" distR="0">
            <wp:extent cx="6962775" cy="35242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jc w:val="both"/>
      </w:pPr>
      <w:r>
        <w:lastRenderedPageBreak/>
        <w:t>From fall 2010 to fall 2014, the number of Caucasian employees at CHC increased by 11.7% (25 employees), the number of Hispanic employees increased by 26.7% (16 employees) and the number of Asian employees increased by 45.5% (10 employees).  During the same time period, Caucasian’s accounted for an average of 66.3% of employees, Hispanics accounted for an average of 18.7% of employees and Asian’s accounted for an average of 7.2% of employees.</w:t>
      </w:r>
    </w:p>
    <w:p w:rsidR="00775E5A" w:rsidRDefault="00775E5A" w:rsidP="00775E5A">
      <w:pPr>
        <w:pStyle w:val="NoSpacing"/>
        <w:jc w:val="both"/>
      </w:pPr>
    </w:p>
    <w:p w:rsidR="00775E5A" w:rsidRDefault="00775E5A" w:rsidP="00775E5A">
      <w:pPr>
        <w:pStyle w:val="NoSpacing"/>
        <w:jc w:val="center"/>
        <w:rPr>
          <w:b/>
          <w:color w:val="00823B"/>
        </w:rPr>
      </w:pPr>
      <w:r w:rsidRPr="000B11AE">
        <w:rPr>
          <w:b/>
          <w:color w:val="00823B"/>
        </w:rPr>
        <w:t>Exhibit 2.XX Unduplicated Employees by Race/Ethnicity (Fall Term)</w:t>
      </w:r>
    </w:p>
    <w:p w:rsidR="00775E5A" w:rsidRDefault="00775E5A" w:rsidP="00775E5A">
      <w:pPr>
        <w:pStyle w:val="NoSpacing"/>
        <w:tabs>
          <w:tab w:val="left" w:pos="-720"/>
        </w:tabs>
        <w:ind w:left="-720" w:right="-720"/>
        <w:rPr>
          <w:b/>
          <w:color w:val="00823B"/>
        </w:rPr>
      </w:pPr>
      <w:r>
        <w:rPr>
          <w:noProof/>
          <w:lang w:eastAsia="en-US"/>
        </w:rPr>
        <w:drawing>
          <wp:inline distT="0" distB="0" distL="0" distR="0">
            <wp:extent cx="6838950" cy="28575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AD14B6" w:rsidRDefault="00AD14B6" w:rsidP="00775E5A">
      <w:pPr>
        <w:pStyle w:val="NoSpacing"/>
        <w:jc w:val="both"/>
      </w:pPr>
    </w:p>
    <w:p w:rsidR="00775E5A" w:rsidRDefault="00775E5A" w:rsidP="00775E5A">
      <w:pPr>
        <w:pStyle w:val="NoSpacing"/>
        <w:jc w:val="both"/>
      </w:pPr>
      <w:r>
        <w:t>From fall 2010 to fall 2014, females accounted for an average of 54.6% of CHC employees, while males accounted for an average of 45.4% of employees.  During the same time, female employees increased by 13.3% (24 persons) while males increased by 23.8% (34 employees).</w:t>
      </w:r>
    </w:p>
    <w:p w:rsidR="00775E5A" w:rsidRDefault="00775E5A" w:rsidP="00775E5A">
      <w:pPr>
        <w:pStyle w:val="NoSpacing"/>
        <w:jc w:val="both"/>
      </w:pPr>
    </w:p>
    <w:p w:rsidR="00775E5A" w:rsidRPr="006D056C" w:rsidRDefault="00775E5A" w:rsidP="00775E5A">
      <w:pPr>
        <w:pStyle w:val="NoSpacing"/>
        <w:jc w:val="center"/>
        <w:rPr>
          <w:b/>
          <w:color w:val="00823B"/>
        </w:rPr>
      </w:pPr>
      <w:r w:rsidRPr="006D056C">
        <w:rPr>
          <w:b/>
          <w:color w:val="00823B"/>
        </w:rPr>
        <w:t>Exhibit 2.XX Unduplicated Employees by Gender (Fall Term)</w:t>
      </w:r>
    </w:p>
    <w:p w:rsidR="00775E5A" w:rsidRDefault="00775E5A" w:rsidP="00775E5A">
      <w:pPr>
        <w:pStyle w:val="NoSpacing"/>
        <w:tabs>
          <w:tab w:val="left" w:pos="-720"/>
        </w:tabs>
        <w:ind w:left="-720" w:right="-720"/>
        <w:rPr>
          <w:b/>
          <w:color w:val="00823B"/>
        </w:rPr>
      </w:pPr>
      <w:r w:rsidRPr="005730C6">
        <w:rPr>
          <w:b/>
          <w:noProof/>
          <w:color w:val="00823B"/>
          <w:lang w:eastAsia="en-US"/>
        </w:rPr>
        <w:drawing>
          <wp:inline distT="0" distB="0" distL="0" distR="0">
            <wp:extent cx="6838950" cy="20478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5E5A" w:rsidRDefault="00775E5A" w:rsidP="00775E5A">
      <w:pPr>
        <w:pStyle w:val="NoSpacing"/>
        <w:jc w:val="both"/>
        <w:rPr>
          <w:i/>
          <w:sz w:val="20"/>
          <w:szCs w:val="20"/>
        </w:rPr>
      </w:pPr>
      <w:r w:rsidRPr="000A4D66">
        <w:rPr>
          <w:i/>
          <w:sz w:val="20"/>
          <w:szCs w:val="20"/>
        </w:rPr>
        <w:t>Source: SBCCD Office of Institutional Effectiveness, Research &amp; Planning</w:t>
      </w:r>
    </w:p>
    <w:p w:rsidR="00775E5A" w:rsidRDefault="00775E5A" w:rsidP="00775E5A">
      <w:pPr>
        <w:pStyle w:val="NoSpacing"/>
        <w:tabs>
          <w:tab w:val="left" w:pos="-720"/>
        </w:tabs>
        <w:rPr>
          <w:b/>
          <w:color w:val="00823B"/>
        </w:rPr>
      </w:pPr>
    </w:p>
    <w:p w:rsidR="00775E5A" w:rsidRDefault="00775E5A" w:rsidP="00775E5A">
      <w:pPr>
        <w:pStyle w:val="NoSpacing"/>
        <w:tabs>
          <w:tab w:val="left" w:pos="-720"/>
        </w:tabs>
        <w:rPr>
          <w:b/>
          <w:color w:val="00823B"/>
        </w:rPr>
      </w:pPr>
    </w:p>
    <w:p w:rsidR="00775E5A" w:rsidRDefault="00775E5A" w:rsidP="00775E5A">
      <w:pPr>
        <w:pStyle w:val="NoSpacing"/>
        <w:tabs>
          <w:tab w:val="left" w:pos="-720"/>
        </w:tabs>
        <w:rPr>
          <w:b/>
          <w:color w:val="00823B"/>
        </w:rPr>
      </w:pPr>
    </w:p>
    <w:p w:rsidR="00775E5A" w:rsidRDefault="00775E5A" w:rsidP="00775E5A">
      <w:pPr>
        <w:pStyle w:val="NoSpacing"/>
        <w:tabs>
          <w:tab w:val="left" w:pos="-720"/>
        </w:tabs>
        <w:rPr>
          <w:b/>
          <w:color w:val="00823B"/>
        </w:rPr>
      </w:pPr>
    </w:p>
    <w:p w:rsidR="00775E5A" w:rsidRDefault="00775E5A" w:rsidP="00775E5A">
      <w:pPr>
        <w:pStyle w:val="NoSpacing"/>
        <w:tabs>
          <w:tab w:val="left" w:pos="-720"/>
        </w:tabs>
        <w:rPr>
          <w:b/>
          <w:color w:val="00823B"/>
        </w:rPr>
      </w:pPr>
      <w:r>
        <w:rPr>
          <w:b/>
          <w:color w:val="00823B"/>
        </w:rPr>
        <w:lastRenderedPageBreak/>
        <w:t>Internal Scan Findings</w:t>
      </w:r>
    </w:p>
    <w:p w:rsidR="00775E5A" w:rsidRDefault="00775E5A" w:rsidP="00775E5A">
      <w:pPr>
        <w:pStyle w:val="NoSpacing"/>
        <w:tabs>
          <w:tab w:val="left" w:pos="-720"/>
        </w:tabs>
        <w:jc w:val="both"/>
      </w:pPr>
      <w:r>
        <w:t>Analysis of data regarding the internal college profile at CHC provides insight for making informed planning decisions.  The following findings are derived from the internal scan data presented in the chapter of the EMP:</w:t>
      </w:r>
    </w:p>
    <w:p w:rsidR="00775E5A" w:rsidRDefault="00775E5A" w:rsidP="00775E5A">
      <w:pPr>
        <w:pStyle w:val="NoSpacing"/>
        <w:tabs>
          <w:tab w:val="left" w:pos="-720"/>
        </w:tabs>
        <w:jc w:val="both"/>
      </w:pPr>
    </w:p>
    <w:p w:rsidR="00775E5A" w:rsidRDefault="00775E5A" w:rsidP="00775E5A">
      <w:pPr>
        <w:pStyle w:val="NoSpacing"/>
        <w:tabs>
          <w:tab w:val="left" w:pos="-720"/>
        </w:tabs>
        <w:jc w:val="both"/>
        <w:rPr>
          <w:i/>
        </w:rPr>
      </w:pPr>
      <w:r w:rsidRPr="00E237FB">
        <w:rPr>
          <w:i/>
        </w:rPr>
        <w:t>Student Demographics</w:t>
      </w:r>
    </w:p>
    <w:p w:rsidR="00775E5A" w:rsidRDefault="00775E5A" w:rsidP="00E30CA3">
      <w:pPr>
        <w:pStyle w:val="NoSpacing"/>
        <w:numPr>
          <w:ilvl w:val="0"/>
          <w:numId w:val="45"/>
        </w:numPr>
        <w:tabs>
          <w:tab w:val="left" w:pos="-720"/>
        </w:tabs>
        <w:spacing w:after="120"/>
        <w:jc w:val="both"/>
      </w:pPr>
      <w:r>
        <w:t>Student 20-24 years old is the largest age group within the College (3,193 students in 2014-15) and the only student age group to increase in enrollment from 2010-11 to 2014-15.  The student age group that experienced the most decline during the same period were those 19 years old and younger (-427 students).</w:t>
      </w:r>
    </w:p>
    <w:p w:rsidR="00775E5A" w:rsidRDefault="00775E5A" w:rsidP="00E30CA3">
      <w:pPr>
        <w:pStyle w:val="NoSpacing"/>
        <w:numPr>
          <w:ilvl w:val="0"/>
          <w:numId w:val="45"/>
        </w:numPr>
        <w:tabs>
          <w:tab w:val="left" w:pos="-720"/>
        </w:tabs>
        <w:spacing w:after="120"/>
        <w:jc w:val="both"/>
      </w:pPr>
      <w:r>
        <w:t>Hispanic students accounted for 44% of College enrollment in 2014-15 (3,537 students).  From 2010-11 to 2014-15, the number of Caucasian student decreased by 1,205 students (-27.6%).</w:t>
      </w:r>
    </w:p>
    <w:p w:rsidR="00775E5A" w:rsidRDefault="00775E5A" w:rsidP="00E30CA3">
      <w:pPr>
        <w:pStyle w:val="NoSpacing"/>
        <w:numPr>
          <w:ilvl w:val="0"/>
          <w:numId w:val="45"/>
        </w:numPr>
        <w:tabs>
          <w:tab w:val="left" w:pos="-720"/>
        </w:tabs>
        <w:jc w:val="both"/>
      </w:pPr>
      <w:r>
        <w:t>Female students accounted for 53.1% of College enrollment in 2014-15 (4,268 students).  From 2010-11 to 2014-15, the number of female students decreased by 219 students (-4.9%), while the number of male students declined by 447 students (-10.6%).</w:t>
      </w:r>
    </w:p>
    <w:p w:rsidR="00775E5A" w:rsidRDefault="00775E5A" w:rsidP="00775E5A">
      <w:pPr>
        <w:pStyle w:val="NoSpacing"/>
        <w:tabs>
          <w:tab w:val="left" w:pos="-720"/>
        </w:tabs>
        <w:jc w:val="both"/>
      </w:pPr>
    </w:p>
    <w:p w:rsidR="00775E5A" w:rsidRDefault="00775E5A" w:rsidP="00775E5A">
      <w:pPr>
        <w:pStyle w:val="NoSpacing"/>
        <w:tabs>
          <w:tab w:val="left" w:pos="-720"/>
        </w:tabs>
        <w:jc w:val="both"/>
        <w:rPr>
          <w:i/>
        </w:rPr>
      </w:pPr>
      <w:r w:rsidRPr="0043333B">
        <w:rPr>
          <w:i/>
        </w:rPr>
        <w:t xml:space="preserve">Enrollment Trends  </w:t>
      </w:r>
    </w:p>
    <w:p w:rsidR="00775E5A" w:rsidRPr="00443E9F" w:rsidRDefault="00775E5A" w:rsidP="00E30CA3">
      <w:pPr>
        <w:pStyle w:val="NoSpacing"/>
        <w:numPr>
          <w:ilvl w:val="0"/>
          <w:numId w:val="46"/>
        </w:numPr>
        <w:tabs>
          <w:tab w:val="left" w:pos="-720"/>
        </w:tabs>
        <w:spacing w:after="120"/>
        <w:jc w:val="both"/>
        <w:rPr>
          <w:i/>
        </w:rPr>
      </w:pPr>
      <w:r>
        <w:t>From 2008-09 to 2012-13, overall College enrollment decreased by 2,421 students (-25.44%).  However, from 2013-14 to 2014-15, CHC’s enrollment increased by 944 students (13.3%).  In 2014-15, the College was still 1,477 students shy of its most recent peak enrollment (9,517 students in 2008-09 compared to 8,040 students in 2014-15).</w:t>
      </w:r>
    </w:p>
    <w:p w:rsidR="00775E5A" w:rsidRPr="00FC1CA3" w:rsidRDefault="00775E5A" w:rsidP="00E30CA3">
      <w:pPr>
        <w:pStyle w:val="NoSpacing"/>
        <w:numPr>
          <w:ilvl w:val="0"/>
          <w:numId w:val="46"/>
        </w:numPr>
        <w:spacing w:after="120"/>
        <w:jc w:val="both"/>
      </w:pPr>
      <w:r>
        <w:t>The number and proportion of students enrolling in tradition face-to-face instruction only has been declining and shifting to students utilizing multiple instructional methods.  In 2010-11, 85.9% of students at CHC enrolled in only traditional face-to-face courses (7,412 students).  By 2014-15, 79.1% of students at CHC enrolled in only traditional face-to-face courses (6,151 students).  During the same time, online only course enrollment increased by 192 students (282.4%).</w:t>
      </w:r>
    </w:p>
    <w:p w:rsidR="00775E5A" w:rsidRPr="00D51987" w:rsidRDefault="00775E5A" w:rsidP="00E30CA3">
      <w:pPr>
        <w:pStyle w:val="NoSpacing"/>
        <w:numPr>
          <w:ilvl w:val="0"/>
          <w:numId w:val="46"/>
        </w:numPr>
        <w:tabs>
          <w:tab w:val="left" w:pos="-720"/>
        </w:tabs>
        <w:spacing w:after="120"/>
        <w:jc w:val="both"/>
        <w:rPr>
          <w:i/>
        </w:rPr>
      </w:pPr>
      <w:r>
        <w:t>Although California residents account for over 96% of students, California resident students declined by 671 students (-7.9%) from 2010-11 to 2014-15.  During the same time, California non-resident students increased by 33 students (25%) while foreign country residents decreased by 13 students (-10.4%).</w:t>
      </w:r>
    </w:p>
    <w:p w:rsidR="00775E5A" w:rsidRPr="002B52AB" w:rsidRDefault="00775E5A" w:rsidP="00E30CA3">
      <w:pPr>
        <w:pStyle w:val="NoSpacing"/>
        <w:numPr>
          <w:ilvl w:val="0"/>
          <w:numId w:val="46"/>
        </w:numPr>
        <w:tabs>
          <w:tab w:val="left" w:pos="-720"/>
        </w:tabs>
        <w:spacing w:after="120"/>
        <w:jc w:val="both"/>
        <w:rPr>
          <w:i/>
        </w:rPr>
      </w:pPr>
      <w:r>
        <w:t>Continuing students account for the majority of CHC enrollment (4,457 students or 55.4% of unduplicated enrollment in 2015-15.  First-time college students account for approximately 12% of enrollment, however only increased by 77 students from 2012-13 to 2014-15.  During the same time, under age 18 or K-12 special admit students decreased by 146 students (-19.9%).</w:t>
      </w:r>
    </w:p>
    <w:p w:rsidR="00775E5A" w:rsidRPr="0000233E" w:rsidRDefault="00775E5A" w:rsidP="00E30CA3">
      <w:pPr>
        <w:pStyle w:val="NoSpacing"/>
        <w:numPr>
          <w:ilvl w:val="0"/>
          <w:numId w:val="46"/>
        </w:numPr>
        <w:tabs>
          <w:tab w:val="left" w:pos="-720"/>
        </w:tabs>
        <w:spacing w:after="120"/>
        <w:jc w:val="both"/>
        <w:rPr>
          <w:i/>
        </w:rPr>
      </w:pPr>
      <w:r>
        <w:t>Yucaipa High School and Redlands East Valley High School have consistently been among to top 3 feeder high schools for CHC, accounting for 181 and 120 first-time students in fall 2014, respectively.  Citrus Valley High School went from the 6</w:t>
      </w:r>
      <w:r w:rsidRPr="0098371A">
        <w:rPr>
          <w:vertAlign w:val="superscript"/>
        </w:rPr>
        <w:t>th</w:t>
      </w:r>
      <w:r>
        <w:t xml:space="preserve"> ranked feeder high school for CHC in fall 2012 to the 3</w:t>
      </w:r>
      <w:r w:rsidRPr="0098371A">
        <w:rPr>
          <w:vertAlign w:val="superscript"/>
        </w:rPr>
        <w:t>rd</w:t>
      </w:r>
      <w:r>
        <w:t xml:space="preserve"> ranked feeder high school in fall 2014. </w:t>
      </w:r>
    </w:p>
    <w:p w:rsidR="00775E5A" w:rsidRPr="009D2AE2" w:rsidRDefault="00775E5A" w:rsidP="00E30CA3">
      <w:pPr>
        <w:pStyle w:val="NoSpacing"/>
        <w:numPr>
          <w:ilvl w:val="0"/>
          <w:numId w:val="46"/>
        </w:numPr>
        <w:tabs>
          <w:tab w:val="left" w:pos="-720"/>
        </w:tabs>
        <w:jc w:val="both"/>
        <w:rPr>
          <w:i/>
        </w:rPr>
      </w:pPr>
      <w:r>
        <w:t>From 2010-11 to 2014-15:</w:t>
      </w:r>
    </w:p>
    <w:p w:rsidR="00775E5A" w:rsidRPr="00F75EED" w:rsidRDefault="00775E5A" w:rsidP="00E30CA3">
      <w:pPr>
        <w:pStyle w:val="NoSpacing"/>
        <w:numPr>
          <w:ilvl w:val="1"/>
          <w:numId w:val="46"/>
        </w:numPr>
        <w:tabs>
          <w:tab w:val="left" w:pos="-720"/>
        </w:tabs>
        <w:jc w:val="both"/>
        <w:rPr>
          <w:i/>
        </w:rPr>
      </w:pPr>
      <w:r>
        <w:t>Total WSCH generation decreased by 3,027 WSCH (-2.1%)</w:t>
      </w:r>
    </w:p>
    <w:p w:rsidR="00775E5A" w:rsidRPr="00C1655C" w:rsidRDefault="00775E5A" w:rsidP="00E30CA3">
      <w:pPr>
        <w:pStyle w:val="NoSpacing"/>
        <w:numPr>
          <w:ilvl w:val="1"/>
          <w:numId w:val="46"/>
        </w:numPr>
        <w:tabs>
          <w:tab w:val="left" w:pos="-720"/>
        </w:tabs>
        <w:jc w:val="both"/>
        <w:rPr>
          <w:i/>
        </w:rPr>
      </w:pPr>
      <w:r>
        <w:t>Total unduplicated enrollment decreased by 668 students (-7.7%)</w:t>
      </w:r>
    </w:p>
    <w:p w:rsidR="00775E5A" w:rsidRPr="00C1655C" w:rsidRDefault="00775E5A" w:rsidP="00E30CA3">
      <w:pPr>
        <w:pStyle w:val="NoSpacing"/>
        <w:numPr>
          <w:ilvl w:val="1"/>
          <w:numId w:val="46"/>
        </w:numPr>
        <w:tabs>
          <w:tab w:val="left" w:pos="-720"/>
        </w:tabs>
        <w:jc w:val="both"/>
        <w:rPr>
          <w:i/>
        </w:rPr>
      </w:pPr>
      <w:r>
        <w:t>Total section offerings increased by 396 sections (7.12%)</w:t>
      </w:r>
    </w:p>
    <w:p w:rsidR="00775E5A" w:rsidRPr="00C1655C" w:rsidRDefault="00775E5A" w:rsidP="00E30CA3">
      <w:pPr>
        <w:pStyle w:val="NoSpacing"/>
        <w:numPr>
          <w:ilvl w:val="1"/>
          <w:numId w:val="46"/>
        </w:numPr>
        <w:tabs>
          <w:tab w:val="left" w:pos="-720"/>
        </w:tabs>
        <w:jc w:val="both"/>
        <w:rPr>
          <w:i/>
        </w:rPr>
      </w:pPr>
      <w:r>
        <w:t>Total FTEF increased by 48.71 FTEF (18.6%)</w:t>
      </w:r>
    </w:p>
    <w:p w:rsidR="00775E5A" w:rsidRPr="00C1655C" w:rsidRDefault="00775E5A" w:rsidP="00E30CA3">
      <w:pPr>
        <w:pStyle w:val="NoSpacing"/>
        <w:numPr>
          <w:ilvl w:val="1"/>
          <w:numId w:val="46"/>
        </w:numPr>
        <w:tabs>
          <w:tab w:val="left" w:pos="-720"/>
        </w:tabs>
        <w:spacing w:after="120"/>
        <w:jc w:val="both"/>
        <w:rPr>
          <w:i/>
        </w:rPr>
      </w:pPr>
      <w:r>
        <w:lastRenderedPageBreak/>
        <w:t>Total productivity decreased by 96.75 WSCH/FTEF (-17.5%)</w:t>
      </w:r>
    </w:p>
    <w:p w:rsidR="00775E5A" w:rsidRPr="0090391D" w:rsidRDefault="00775E5A" w:rsidP="00E30CA3">
      <w:pPr>
        <w:pStyle w:val="NoSpacing"/>
        <w:numPr>
          <w:ilvl w:val="0"/>
          <w:numId w:val="46"/>
        </w:numPr>
        <w:tabs>
          <w:tab w:val="left" w:pos="-720"/>
        </w:tabs>
        <w:spacing w:after="120"/>
        <w:jc w:val="both"/>
        <w:rPr>
          <w:i/>
        </w:rPr>
      </w:pPr>
      <w:r>
        <w:t>In 2011-12, the College generated 111.95 WSCH per section.  However, in 2014-15 the College generated 86.02 WSCH per section.</w:t>
      </w:r>
    </w:p>
    <w:p w:rsidR="00775E5A" w:rsidRPr="00F75EED" w:rsidRDefault="00775E5A" w:rsidP="00E30CA3">
      <w:pPr>
        <w:pStyle w:val="NoSpacing"/>
        <w:numPr>
          <w:ilvl w:val="0"/>
          <w:numId w:val="46"/>
        </w:numPr>
        <w:tabs>
          <w:tab w:val="left" w:pos="-720"/>
        </w:tabs>
        <w:spacing w:after="120"/>
        <w:jc w:val="both"/>
        <w:rPr>
          <w:i/>
        </w:rPr>
      </w:pPr>
      <w:r>
        <w:t>In 2010-11, the College had 261.34 FTEF that reached a productivity level of 553.72 WSCH/FTEF.  However, in 2014-15 the College had 310.05 FTEF that reached a productivity level of 456.97 WSCH/FTEF.</w:t>
      </w:r>
    </w:p>
    <w:p w:rsidR="00775E5A" w:rsidRPr="00AD19AD" w:rsidRDefault="00775E5A" w:rsidP="00E30CA3">
      <w:pPr>
        <w:pStyle w:val="NoSpacing"/>
        <w:numPr>
          <w:ilvl w:val="0"/>
          <w:numId w:val="46"/>
        </w:numPr>
        <w:tabs>
          <w:tab w:val="left" w:pos="-720"/>
        </w:tabs>
        <w:jc w:val="both"/>
        <w:rPr>
          <w:i/>
        </w:rPr>
      </w:pPr>
      <w:r>
        <w:t xml:space="preserve">The majority of students at CHC </w:t>
      </w:r>
      <w:r w:rsidR="00FB6DA3">
        <w:t>state</w:t>
      </w:r>
      <w:r>
        <w:t>d an educational goal of obtaining a BA/BS upon transfer to a four-year institution (4,975 students or 61.6% of unduplicated enrollment in 2014-15).  From 2010-11 to 2014-15, the proportion of students with the goal of obtaining a BA/BS upon transfer increased by 8.2% (303 students).</w:t>
      </w:r>
    </w:p>
    <w:p w:rsidR="00775E5A" w:rsidRDefault="00775E5A" w:rsidP="00775E5A">
      <w:pPr>
        <w:pStyle w:val="NoSpacing"/>
        <w:tabs>
          <w:tab w:val="left" w:pos="-720"/>
        </w:tabs>
        <w:ind w:left="360"/>
        <w:jc w:val="both"/>
      </w:pPr>
    </w:p>
    <w:p w:rsidR="00775E5A" w:rsidRDefault="00775E5A" w:rsidP="00775E5A">
      <w:pPr>
        <w:pStyle w:val="NoSpacing"/>
        <w:tabs>
          <w:tab w:val="left" w:pos="-720"/>
        </w:tabs>
        <w:ind w:left="360"/>
        <w:jc w:val="both"/>
        <w:rPr>
          <w:i/>
        </w:rPr>
      </w:pPr>
      <w:r w:rsidRPr="00061BEF">
        <w:rPr>
          <w:i/>
        </w:rPr>
        <w:t>Student Success and Completion</w:t>
      </w:r>
    </w:p>
    <w:p w:rsidR="00775E5A" w:rsidRDefault="00775E5A" w:rsidP="00E30CA3">
      <w:pPr>
        <w:pStyle w:val="NoSpacing"/>
        <w:numPr>
          <w:ilvl w:val="0"/>
          <w:numId w:val="47"/>
        </w:numPr>
        <w:tabs>
          <w:tab w:val="left" w:pos="-720"/>
        </w:tabs>
        <w:spacing w:after="120"/>
        <w:ind w:left="720"/>
        <w:jc w:val="both"/>
      </w:pPr>
      <w:r>
        <w:t>From 2010-11 to 2014-15, CHC experienced an average retention rate of 90.7% and an average success rate of 73.3%.  In 2014-15, the College’s retention rate was 91.4% (</w:t>
      </w:r>
      <w:r w:rsidR="00FB6DA3">
        <w:t>State-wide</w:t>
      </w:r>
      <w:r>
        <w:t xml:space="preserve"> retention rate for fall 2014 was 86.3%).  In 2014-15, the College’s success rate was 73.3% (</w:t>
      </w:r>
      <w:r w:rsidR="00FB6DA3">
        <w:t>State-wide</w:t>
      </w:r>
      <w:r>
        <w:t xml:space="preserve"> success rate for fall 2014 was 69.01%).</w:t>
      </w:r>
    </w:p>
    <w:p w:rsidR="00775E5A" w:rsidRDefault="00775E5A" w:rsidP="00E30CA3">
      <w:pPr>
        <w:pStyle w:val="NoSpacing"/>
        <w:numPr>
          <w:ilvl w:val="0"/>
          <w:numId w:val="47"/>
        </w:numPr>
        <w:tabs>
          <w:tab w:val="left" w:pos="-720"/>
        </w:tabs>
        <w:spacing w:after="120"/>
        <w:ind w:left="720"/>
        <w:jc w:val="both"/>
      </w:pPr>
      <w:r>
        <w:t>From 2010-11 to 2014-15, total degrees and certificates awarded increased by 219 awards (30.5%).  The most significant growth was experienced in AS degrees, which increased by 83 awards (52.9%) during the same time period.  Certificates requiring 6 to less than 18 semester units constituted the most awards at CHC in 2014 (275 awards).</w:t>
      </w:r>
    </w:p>
    <w:p w:rsidR="00775E5A" w:rsidRDefault="00775E5A" w:rsidP="00E30CA3">
      <w:pPr>
        <w:pStyle w:val="NoSpacing"/>
        <w:numPr>
          <w:ilvl w:val="0"/>
          <w:numId w:val="47"/>
        </w:numPr>
        <w:tabs>
          <w:tab w:val="left" w:pos="-720"/>
        </w:tabs>
        <w:spacing w:after="120"/>
        <w:ind w:left="720"/>
        <w:jc w:val="both"/>
      </w:pPr>
      <w:r>
        <w:t xml:space="preserve">Student cohorts from 2004-05 to 2008-09, had an average completion rate of 40.8% within 6 years, while the </w:t>
      </w:r>
      <w:r w:rsidR="00FB6DA3">
        <w:t>State-wide</w:t>
      </w:r>
      <w:r>
        <w:t xml:space="preserve"> average completion rate was 48.3%.</w:t>
      </w:r>
    </w:p>
    <w:p w:rsidR="00775E5A" w:rsidRDefault="00775E5A" w:rsidP="00E30CA3">
      <w:pPr>
        <w:pStyle w:val="NoSpacing"/>
        <w:numPr>
          <w:ilvl w:val="0"/>
          <w:numId w:val="47"/>
        </w:numPr>
        <w:tabs>
          <w:tab w:val="left" w:pos="-720"/>
        </w:tabs>
        <w:ind w:left="720"/>
        <w:jc w:val="both"/>
      </w:pPr>
      <w:r>
        <w:t>From 2009-10 to 2013-14, the average transfer volume at CHC was 457 students.  During the same period, the average proportion of CSU transfers was 45.2%, while the average proportion of in-</w:t>
      </w:r>
      <w:r w:rsidR="00FB6DA3">
        <w:t>State</w:t>
      </w:r>
      <w:r>
        <w:t xml:space="preserve"> private school transfers was 27.3%, approximately 19.3% of transfers went to out-of-</w:t>
      </w:r>
      <w:r w:rsidR="00FB6DA3">
        <w:t>State</w:t>
      </w:r>
      <w:r>
        <w:t xml:space="preserve"> schools, and 8.1% of transfer students enrolled in UC schools.</w:t>
      </w:r>
    </w:p>
    <w:p w:rsidR="00775E5A" w:rsidRDefault="00775E5A" w:rsidP="00775E5A">
      <w:pPr>
        <w:pStyle w:val="NoSpacing"/>
        <w:tabs>
          <w:tab w:val="left" w:pos="-720"/>
        </w:tabs>
        <w:jc w:val="both"/>
      </w:pPr>
    </w:p>
    <w:p w:rsidR="00775E5A" w:rsidRDefault="00775E5A" w:rsidP="00775E5A">
      <w:pPr>
        <w:pStyle w:val="NoSpacing"/>
        <w:jc w:val="both"/>
        <w:rPr>
          <w:i/>
        </w:rPr>
      </w:pPr>
      <w:r>
        <w:rPr>
          <w:i/>
        </w:rPr>
        <w:t>Employee Demographics</w:t>
      </w:r>
    </w:p>
    <w:p w:rsidR="00775E5A" w:rsidRDefault="00775E5A" w:rsidP="00551094">
      <w:pPr>
        <w:pStyle w:val="NoSpacing"/>
        <w:numPr>
          <w:ilvl w:val="0"/>
          <w:numId w:val="48"/>
        </w:numPr>
        <w:spacing w:after="120"/>
        <w:jc w:val="both"/>
      </w:pPr>
      <w:r>
        <w:t xml:space="preserve">In fall 2014, adjunct faculty accounted for 53.8% of all employees (205 persons), while full-time faculty accounted for 18.4% of all employees (70 persons).  Approximately 25.5% of the College’s </w:t>
      </w:r>
      <w:proofErr w:type="gramStart"/>
      <w:r>
        <w:t>faculty were</w:t>
      </w:r>
      <w:proofErr w:type="gramEnd"/>
      <w:r>
        <w:t xml:space="preserve"> full-time employees (70 full-time faculty of 275 total faculty members).</w:t>
      </w:r>
    </w:p>
    <w:p w:rsidR="00775E5A" w:rsidRDefault="00775E5A" w:rsidP="00E30CA3">
      <w:pPr>
        <w:pStyle w:val="NoSpacing"/>
        <w:numPr>
          <w:ilvl w:val="0"/>
          <w:numId w:val="48"/>
        </w:numPr>
        <w:spacing w:after="120"/>
        <w:jc w:val="both"/>
      </w:pPr>
      <w:r>
        <w:t>In fall 2014, 105 employees were within the 50-59 age group (27.6% of all employees) and 56 employees were age 60 or older (14.7% of all employees.  Data suggest that it is reasonable to expect up to 42% of the College’s employees to retire within the next 15 years.</w:t>
      </w:r>
    </w:p>
    <w:p w:rsidR="00775E5A" w:rsidRDefault="00775E5A" w:rsidP="00E30CA3">
      <w:pPr>
        <w:pStyle w:val="NoSpacing"/>
        <w:numPr>
          <w:ilvl w:val="0"/>
          <w:numId w:val="48"/>
        </w:numPr>
        <w:spacing w:after="120"/>
        <w:jc w:val="both"/>
      </w:pPr>
      <w:r>
        <w:t>In fall 2014, 62.5% of CHC employees were Caucasian (238 persons), 19.9% of employees were Hispanic (76 persons), 8.4% of employees were Asian (32 persons), and 6.3% were African American (24 persons).  From fall 2010 to fall 2014, Caucasian employees increased by 25 persons (11.7%), while Hispanic employees increased by 16 persons (26.7%) and Asian employees increased by 10 persons (45.5%).</w:t>
      </w:r>
    </w:p>
    <w:p w:rsidR="00775E5A" w:rsidRPr="00266F2D" w:rsidRDefault="00775E5A" w:rsidP="00E30CA3">
      <w:pPr>
        <w:pStyle w:val="NoSpacing"/>
        <w:numPr>
          <w:ilvl w:val="0"/>
          <w:numId w:val="48"/>
        </w:numPr>
        <w:jc w:val="both"/>
      </w:pPr>
      <w:r>
        <w:t>In fall 2014, 53.5% of the College’s employees were female (204 persons), while 46.5% of employees were male (177 persons).  From fall 2010 to fall 2014, the number of male employees increased by 34 persons (23.8%) while females increased by 24 employees (13.3%).</w:t>
      </w:r>
    </w:p>
    <w:p w:rsidR="00775E5A" w:rsidRPr="00061BEF" w:rsidRDefault="00775E5A" w:rsidP="00775E5A">
      <w:pPr>
        <w:pStyle w:val="NoSpacing"/>
        <w:tabs>
          <w:tab w:val="left" w:pos="-720"/>
        </w:tabs>
        <w:jc w:val="both"/>
      </w:pPr>
    </w:p>
    <w:p w:rsidR="00C5386B" w:rsidRPr="0044767C" w:rsidRDefault="0044767C" w:rsidP="00C5386B">
      <w:pPr>
        <w:contextualSpacing/>
        <w:jc w:val="both"/>
        <w:rPr>
          <w:rFonts w:asciiTheme="minorHAnsi" w:hAnsiTheme="minorHAnsi"/>
        </w:rPr>
      </w:pPr>
      <w:r w:rsidRPr="0044767C">
        <w:rPr>
          <w:rFonts w:asciiTheme="minorHAnsi" w:hAnsiTheme="minorHAnsi"/>
        </w:rPr>
        <w:lastRenderedPageBreak/>
        <w:t xml:space="preserve">The </w:t>
      </w:r>
      <w:r w:rsidR="00AD14B6">
        <w:rPr>
          <w:rFonts w:asciiTheme="minorHAnsi" w:hAnsiTheme="minorHAnsi"/>
        </w:rPr>
        <w:t xml:space="preserve">intent of the </w:t>
      </w:r>
      <w:r w:rsidRPr="0044767C">
        <w:rPr>
          <w:rFonts w:asciiTheme="minorHAnsi" w:hAnsiTheme="minorHAnsi"/>
        </w:rPr>
        <w:t xml:space="preserve">external scan </w:t>
      </w:r>
      <w:r w:rsidR="00AD14B6">
        <w:rPr>
          <w:rFonts w:asciiTheme="minorHAnsi" w:hAnsiTheme="minorHAnsi"/>
        </w:rPr>
        <w:t>for</w:t>
      </w:r>
      <w:r w:rsidRPr="0044767C">
        <w:rPr>
          <w:rFonts w:asciiTheme="minorHAnsi" w:hAnsiTheme="minorHAnsi"/>
        </w:rPr>
        <w:t xml:space="preserve"> Crafton Hills College (CHC) is to assess demographics and other characteristics of the regional community which the Colleg</w:t>
      </w:r>
      <w:r w:rsidR="00734598">
        <w:rPr>
          <w:rFonts w:asciiTheme="minorHAnsi" w:hAnsiTheme="minorHAnsi"/>
        </w:rPr>
        <w:t>e services. The external scan is used</w:t>
      </w:r>
      <w:r w:rsidRPr="0044767C">
        <w:rPr>
          <w:rFonts w:asciiTheme="minorHAnsi" w:hAnsiTheme="minorHAnsi"/>
        </w:rPr>
        <w:t xml:space="preserve"> to identify and understand patterns and trends within the area and inform</w:t>
      </w:r>
      <w:r w:rsidR="00FB6DA3">
        <w:rPr>
          <w:rFonts w:asciiTheme="minorHAnsi" w:hAnsiTheme="minorHAnsi"/>
        </w:rPr>
        <w:t>s</w:t>
      </w:r>
      <w:r w:rsidRPr="0044767C">
        <w:rPr>
          <w:rFonts w:asciiTheme="minorHAnsi" w:hAnsiTheme="minorHAnsi"/>
        </w:rPr>
        <w:t xml:space="preserve"> planning directions. </w:t>
      </w:r>
      <w:r w:rsidR="00FB6DA3">
        <w:rPr>
          <w:rFonts w:asciiTheme="minorHAnsi" w:hAnsiTheme="minorHAnsi"/>
        </w:rPr>
        <w:t>The analysis</w:t>
      </w:r>
      <w:r w:rsidRPr="0044767C">
        <w:rPr>
          <w:rFonts w:asciiTheme="minorHAnsi" w:hAnsiTheme="minorHAnsi"/>
        </w:rPr>
        <w:t xml:space="preserve"> presented in this plan </w:t>
      </w:r>
      <w:r w:rsidR="00FB6DA3">
        <w:rPr>
          <w:rFonts w:asciiTheme="minorHAnsi" w:hAnsiTheme="minorHAnsi"/>
        </w:rPr>
        <w:t>is based on</w:t>
      </w:r>
      <w:r w:rsidRPr="0044767C">
        <w:rPr>
          <w:rFonts w:asciiTheme="minorHAnsi" w:hAnsiTheme="minorHAnsi"/>
        </w:rPr>
        <w:t xml:space="preserve"> service area (ZIP Codes) and region (Riverside and </w:t>
      </w:r>
      <w:r w:rsidR="00FB6DA3">
        <w:rPr>
          <w:rFonts w:asciiTheme="minorHAnsi" w:hAnsiTheme="minorHAnsi"/>
        </w:rPr>
        <w:t>San Bernardino Counties)</w:t>
      </w:r>
      <w:r w:rsidR="00C87C7C">
        <w:rPr>
          <w:rFonts w:asciiTheme="minorHAnsi" w:hAnsiTheme="minorHAnsi"/>
        </w:rPr>
        <w:t xml:space="preserve">. </w:t>
      </w:r>
      <w:r w:rsidR="00C5386B" w:rsidRPr="0044767C">
        <w:rPr>
          <w:rFonts w:asciiTheme="minorHAnsi" w:hAnsiTheme="minorHAnsi"/>
        </w:rPr>
        <w:t>Economic Modeling S</w:t>
      </w:r>
      <w:r w:rsidR="00C5386B">
        <w:rPr>
          <w:rFonts w:asciiTheme="minorHAnsi" w:hAnsiTheme="minorHAnsi"/>
        </w:rPr>
        <w:t xml:space="preserve">pecialists International (EMSI), </w:t>
      </w:r>
      <w:r w:rsidR="00C5386B" w:rsidRPr="0044767C">
        <w:rPr>
          <w:rFonts w:asciiTheme="minorHAnsi" w:hAnsiTheme="minorHAnsi"/>
        </w:rPr>
        <w:t>Census 2010 American Community Surv</w:t>
      </w:r>
      <w:r w:rsidR="00C5386B">
        <w:rPr>
          <w:rFonts w:asciiTheme="minorHAnsi" w:hAnsiTheme="minorHAnsi"/>
        </w:rPr>
        <w:t>ey 5-Year Estimates (2010-2014) and California Department of Education data was utilized to analyze the community which the College serves.</w:t>
      </w:r>
    </w:p>
    <w:p w:rsidR="00C5386B" w:rsidRDefault="00C5386B" w:rsidP="0044767C">
      <w:pPr>
        <w:contextualSpacing/>
        <w:jc w:val="both"/>
        <w:rPr>
          <w:rFonts w:asciiTheme="minorHAnsi" w:hAnsiTheme="minorHAnsi"/>
          <w:b/>
          <w:color w:val="008000"/>
        </w:rPr>
      </w:pP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color w:val="008000"/>
        </w:rPr>
        <w:t>Crafton Hills College Service Area</w:t>
      </w:r>
    </w:p>
    <w:p w:rsidR="0044767C" w:rsidRPr="0044767C" w:rsidRDefault="00AD14B6" w:rsidP="0044767C">
      <w:pPr>
        <w:contextualSpacing/>
        <w:jc w:val="both"/>
        <w:rPr>
          <w:rFonts w:asciiTheme="minorHAnsi" w:hAnsiTheme="minorHAnsi"/>
        </w:rPr>
      </w:pPr>
      <w:r>
        <w:rPr>
          <w:rFonts w:asciiTheme="minorHAnsi" w:hAnsiTheme="minorHAnsi"/>
        </w:rPr>
        <w:t xml:space="preserve">The </w:t>
      </w:r>
      <w:r w:rsidR="0044767C" w:rsidRPr="0044767C">
        <w:rPr>
          <w:rFonts w:asciiTheme="minorHAnsi" w:hAnsiTheme="minorHAnsi"/>
        </w:rPr>
        <w:t>Crafton Hills College service area includes 18 cities/areas: Banning, Beaumont, Grand Terrace, Big Bear, Calimesa, Colton, Crestline, Fontana, Highland, Lake Arrowhead, Loma Linda, Mentone, Redlands, Rialto, Running Springs, Yucaipa, San Bernardino and Moreno Valley. Regionally, CHC serves the counties of Riverside and San Bernardino.</w:t>
      </w:r>
    </w:p>
    <w:p w:rsidR="0044767C" w:rsidRPr="0044767C" w:rsidRDefault="0044767C" w:rsidP="0044767C">
      <w:pPr>
        <w:contextualSpacing/>
        <w:jc w:val="both"/>
        <w:rPr>
          <w:rFonts w:asciiTheme="minorHAnsi" w:hAnsiTheme="minorHAnsi"/>
        </w:rPr>
      </w:pPr>
    </w:p>
    <w:p w:rsidR="0044767C" w:rsidRPr="0044767C" w:rsidRDefault="0044767C" w:rsidP="00C5386B">
      <w:pPr>
        <w:contextualSpacing/>
        <w:jc w:val="center"/>
        <w:rPr>
          <w:rFonts w:asciiTheme="minorHAnsi" w:hAnsiTheme="minorHAnsi"/>
          <w:b/>
          <w:color w:val="008000"/>
        </w:rPr>
      </w:pPr>
      <w:r w:rsidRPr="0044767C">
        <w:rPr>
          <w:rFonts w:asciiTheme="minorHAnsi" w:hAnsiTheme="minorHAnsi"/>
          <w:b/>
          <w:color w:val="008000"/>
        </w:rPr>
        <w:t>Exhibit 3.XX CHC Service Area Map</w:t>
      </w: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noProof/>
          <w:color w:val="008000"/>
        </w:rPr>
        <w:drawing>
          <wp:inline distT="0" distB="0" distL="0" distR="0">
            <wp:extent cx="5943600" cy="4371458"/>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371458"/>
                    </a:xfrm>
                    <a:prstGeom prst="rect">
                      <a:avLst/>
                    </a:prstGeom>
                    <a:noFill/>
                    <a:ln>
                      <a:noFill/>
                    </a:ln>
                  </pic:spPr>
                </pic:pic>
              </a:graphicData>
            </a:graphic>
          </wp:inline>
        </w:drawing>
      </w:r>
    </w:p>
    <w:p w:rsidR="00C87C7C" w:rsidRPr="00FC3753" w:rsidRDefault="00C87C7C" w:rsidP="00C87C7C">
      <w:pPr>
        <w:pStyle w:val="NoSpacing"/>
        <w:rPr>
          <w:i/>
          <w:sz w:val="20"/>
          <w:szCs w:val="20"/>
        </w:rPr>
      </w:pPr>
      <w:r w:rsidRPr="00FC3753">
        <w:rPr>
          <w:i/>
          <w:sz w:val="20"/>
          <w:szCs w:val="20"/>
        </w:rPr>
        <w:t>Source: CHC Educational Master Plan 2010-11</w:t>
      </w:r>
    </w:p>
    <w:p w:rsidR="0044767C" w:rsidRDefault="0044767C" w:rsidP="0044767C">
      <w:pPr>
        <w:contextualSpacing/>
        <w:jc w:val="both"/>
        <w:rPr>
          <w:rFonts w:asciiTheme="minorHAnsi" w:hAnsiTheme="minorHAnsi"/>
        </w:rPr>
      </w:pPr>
    </w:p>
    <w:p w:rsidR="00C87C7C" w:rsidRDefault="00C87C7C" w:rsidP="0044767C">
      <w:pPr>
        <w:contextualSpacing/>
        <w:jc w:val="both"/>
        <w:rPr>
          <w:rFonts w:asciiTheme="minorHAnsi" w:hAnsiTheme="minorHAnsi"/>
        </w:rPr>
      </w:pPr>
    </w:p>
    <w:p w:rsidR="00C87C7C" w:rsidRDefault="00C87C7C" w:rsidP="0044767C">
      <w:pPr>
        <w:contextualSpacing/>
        <w:jc w:val="both"/>
        <w:rPr>
          <w:rFonts w:asciiTheme="minorHAnsi" w:hAnsiTheme="minorHAnsi"/>
        </w:rPr>
      </w:pPr>
    </w:p>
    <w:p w:rsidR="00C87C7C" w:rsidRPr="0044767C" w:rsidRDefault="00C87C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color w:val="008000"/>
        </w:rPr>
        <w:lastRenderedPageBreak/>
        <w:t>Population Estimates and Projections</w:t>
      </w:r>
    </w:p>
    <w:p w:rsidR="0044767C" w:rsidRPr="0044767C" w:rsidRDefault="0044767C" w:rsidP="0044767C">
      <w:pPr>
        <w:contextualSpacing/>
        <w:jc w:val="both"/>
        <w:rPr>
          <w:rFonts w:asciiTheme="minorHAnsi" w:hAnsiTheme="minorHAnsi"/>
        </w:rPr>
      </w:pPr>
      <w:r w:rsidRPr="0044767C">
        <w:rPr>
          <w:rFonts w:asciiTheme="minorHAnsi" w:hAnsiTheme="minorHAnsi"/>
        </w:rPr>
        <w:t>Population data provide</w:t>
      </w:r>
      <w:r w:rsidR="00FB6DA3">
        <w:rPr>
          <w:rFonts w:asciiTheme="minorHAnsi" w:hAnsiTheme="minorHAnsi"/>
        </w:rPr>
        <w:t xml:space="preserve">s an opportunity to understand the make-up of the population CHC primarily serves relative to the region and State. </w:t>
      </w:r>
      <w:r w:rsidRPr="0044767C">
        <w:rPr>
          <w:rFonts w:asciiTheme="minorHAnsi" w:hAnsiTheme="minorHAnsi"/>
        </w:rPr>
        <w:t xml:space="preserve">From 2005 to 2015, the service area population grew by 13% (113,686 persons) while the region’s total population grew by 17.3% (669,696 persons). By comparison, the </w:t>
      </w:r>
      <w:r w:rsidR="00FB6DA3">
        <w:rPr>
          <w:rFonts w:asciiTheme="minorHAnsi" w:hAnsiTheme="minorHAnsi"/>
        </w:rPr>
        <w:t>State</w:t>
      </w:r>
      <w:r w:rsidRPr="0044767C">
        <w:rPr>
          <w:rFonts w:asciiTheme="minorHAnsi" w:hAnsiTheme="minorHAnsi"/>
        </w:rPr>
        <w:t>’s population grew by 9.1%.</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The projected population growth of the service area and region is expected to diminish over the next 10 years. From 2015 to 2025, the service area total population is projected to grow by 5.13% (50,687 persons) and the region’s total popula</w:t>
      </w:r>
      <w:r w:rsidR="00772E54">
        <w:rPr>
          <w:rFonts w:asciiTheme="minorHAnsi" w:hAnsiTheme="minorHAnsi"/>
        </w:rPr>
        <w:t>tion is projected to grow by 5.55</w:t>
      </w:r>
      <w:r w:rsidRPr="0044767C">
        <w:rPr>
          <w:rFonts w:asciiTheme="minorHAnsi" w:hAnsiTheme="minorHAnsi"/>
        </w:rPr>
        <w:t xml:space="preserve">% (252,316 persons). Both of these increases exceed the </w:t>
      </w:r>
      <w:r w:rsidR="00FB6DA3">
        <w:rPr>
          <w:rFonts w:asciiTheme="minorHAnsi" w:hAnsiTheme="minorHAnsi"/>
        </w:rPr>
        <w:t>State</w:t>
      </w:r>
      <w:r w:rsidRPr="0044767C">
        <w:rPr>
          <w:rFonts w:asciiTheme="minorHAnsi" w:hAnsiTheme="minorHAnsi"/>
        </w:rPr>
        <w:t>’s projected growth</w:t>
      </w:r>
      <w:r w:rsidR="00C87C7C">
        <w:rPr>
          <w:rFonts w:asciiTheme="minorHAnsi" w:hAnsiTheme="minorHAnsi"/>
        </w:rPr>
        <w:t xml:space="preserve"> during the same time period</w:t>
      </w:r>
      <w:r w:rsidRPr="0044767C">
        <w:rPr>
          <w:rFonts w:asciiTheme="minorHAnsi" w:hAnsiTheme="minorHAnsi"/>
        </w:rPr>
        <w:t xml:space="preserve">, </w:t>
      </w:r>
      <w:r w:rsidR="00772E54">
        <w:rPr>
          <w:rFonts w:asciiTheme="minorHAnsi" w:hAnsiTheme="minorHAnsi"/>
        </w:rPr>
        <w:t>which is expected to grow by 5.08</w:t>
      </w:r>
      <w:r w:rsidRPr="0044767C">
        <w:rPr>
          <w:rFonts w:asciiTheme="minorHAnsi" w:hAnsiTheme="minorHAnsi"/>
        </w:rPr>
        <w:t>% (1,987,3</w:t>
      </w:r>
      <w:r w:rsidR="00FC3753">
        <w:rPr>
          <w:rFonts w:asciiTheme="minorHAnsi" w:hAnsiTheme="minorHAnsi"/>
        </w:rPr>
        <w:t>46 persons)</w:t>
      </w:r>
      <w:r w:rsidRPr="0044767C">
        <w:rPr>
          <w:rFonts w:asciiTheme="minorHAnsi" w:hAnsiTheme="minorHAnsi"/>
        </w:rPr>
        <w:t>.</w:t>
      </w:r>
    </w:p>
    <w:p w:rsidR="0044767C" w:rsidRPr="0044767C" w:rsidRDefault="0044767C" w:rsidP="0044767C">
      <w:pPr>
        <w:contextualSpacing/>
        <w:jc w:val="both"/>
        <w:rPr>
          <w:rFonts w:asciiTheme="minorHAnsi" w:hAnsiTheme="minorHAnsi"/>
        </w:rPr>
      </w:pPr>
    </w:p>
    <w:p w:rsidR="0044767C" w:rsidRPr="0044767C" w:rsidRDefault="0044767C" w:rsidP="00C87C7C">
      <w:pPr>
        <w:contextualSpacing/>
        <w:jc w:val="center"/>
        <w:rPr>
          <w:rFonts w:asciiTheme="minorHAnsi" w:hAnsiTheme="minorHAnsi"/>
          <w:b/>
          <w:color w:val="008000"/>
        </w:rPr>
      </w:pPr>
      <w:r w:rsidRPr="0044767C">
        <w:rPr>
          <w:rFonts w:asciiTheme="minorHAnsi" w:hAnsiTheme="minorHAnsi"/>
          <w:b/>
          <w:color w:val="008000"/>
        </w:rPr>
        <w:t>Exhibit 3.XX Total Population Estimates &amp; Projections</w:t>
      </w:r>
    </w:p>
    <w:tbl>
      <w:tblPr>
        <w:tblW w:w="10020" w:type="dxa"/>
        <w:jc w:val="center"/>
        <w:tblInd w:w="93" w:type="dxa"/>
        <w:tblLook w:val="04A0" w:firstRow="1" w:lastRow="0" w:firstColumn="1" w:lastColumn="0" w:noHBand="0" w:noVBand="1"/>
      </w:tblPr>
      <w:tblGrid>
        <w:gridCol w:w="1540"/>
        <w:gridCol w:w="1218"/>
        <w:gridCol w:w="1218"/>
        <w:gridCol w:w="1218"/>
        <w:gridCol w:w="1218"/>
        <w:gridCol w:w="1218"/>
        <w:gridCol w:w="1218"/>
        <w:gridCol w:w="1218"/>
        <w:gridCol w:w="1218"/>
      </w:tblGrid>
      <w:tr w:rsidR="0044767C" w:rsidRPr="0044767C" w:rsidTr="0032023F">
        <w:trPr>
          <w:trHeight w:val="300"/>
          <w:jc w:val="center"/>
        </w:trPr>
        <w:tc>
          <w:tcPr>
            <w:tcW w:w="154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Area</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2010</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2011</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2012</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2013</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2014</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2015</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2020</w:t>
            </w:r>
          </w:p>
        </w:tc>
        <w:tc>
          <w:tcPr>
            <w:tcW w:w="1060" w:type="dxa"/>
            <w:tcBorders>
              <w:top w:val="nil"/>
              <w:left w:val="nil"/>
              <w:bottom w:val="nil"/>
              <w:right w:val="nil"/>
            </w:tcBorders>
            <w:shd w:val="clear" w:color="000000" w:fill="4F6228"/>
            <w:noWrap/>
            <w:vAlign w:val="bottom"/>
            <w:hideMark/>
          </w:tcPr>
          <w:p w:rsidR="0044767C" w:rsidRPr="0044767C" w:rsidRDefault="0044767C" w:rsidP="00C87C7C">
            <w:pPr>
              <w:spacing w:after="0" w:line="240" w:lineRule="auto"/>
              <w:jc w:val="center"/>
              <w:rPr>
                <w:rFonts w:asciiTheme="minorHAnsi" w:eastAsia="Times New Roman" w:hAnsiTheme="minorHAnsi" w:cs="Times New Roman"/>
                <w:b/>
                <w:bCs/>
                <w:color w:val="FFFFFF"/>
              </w:rPr>
            </w:pPr>
            <w:r w:rsidRPr="0044767C">
              <w:rPr>
                <w:rFonts w:asciiTheme="minorHAnsi" w:eastAsia="Times New Roman" w:hAnsiTheme="minorHAnsi" w:cs="Times New Roman"/>
                <w:b/>
                <w:bCs/>
                <w:color w:val="FFFFFF"/>
              </w:rPr>
              <w:t>2025</w:t>
            </w:r>
          </w:p>
        </w:tc>
      </w:tr>
      <w:tr w:rsidR="0044767C" w:rsidRPr="0044767C" w:rsidTr="0032023F">
        <w:trPr>
          <w:trHeight w:val="300"/>
          <w:jc w:val="center"/>
        </w:trPr>
        <w:tc>
          <w:tcPr>
            <w:tcW w:w="154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Service Area</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931,224</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943,457</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952,304</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967,154</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976,089</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987,862</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1,028,052</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1,038,549</w:t>
            </w:r>
          </w:p>
        </w:tc>
      </w:tr>
      <w:tr w:rsidR="0044767C" w:rsidRPr="0044767C" w:rsidTr="0032023F">
        <w:trPr>
          <w:trHeight w:val="300"/>
          <w:jc w:val="center"/>
        </w:trPr>
        <w:tc>
          <w:tcPr>
            <w:tcW w:w="154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Region</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4,243,556</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4,302,146</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4,350,609</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4,416,590</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4,481,004</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4,545,323</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4,755,883</w:t>
            </w:r>
          </w:p>
        </w:tc>
        <w:tc>
          <w:tcPr>
            <w:tcW w:w="1060" w:type="dxa"/>
            <w:tcBorders>
              <w:top w:val="nil"/>
              <w:left w:val="nil"/>
              <w:bottom w:val="nil"/>
              <w:right w:val="nil"/>
            </w:tcBorders>
            <w:shd w:val="clear" w:color="auto" w:fill="auto"/>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4,863,981</w:t>
            </w:r>
          </w:p>
        </w:tc>
      </w:tr>
      <w:tr w:rsidR="0044767C" w:rsidRPr="0044767C" w:rsidTr="0032023F">
        <w:trPr>
          <w:trHeight w:val="300"/>
          <w:jc w:val="center"/>
        </w:trPr>
        <w:tc>
          <w:tcPr>
            <w:tcW w:w="154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California</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37,335,221</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37,687,015</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38,047,900</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38,395,867</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38,757,231</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39,090,228</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40,251,903</w:t>
            </w:r>
          </w:p>
        </w:tc>
        <w:tc>
          <w:tcPr>
            <w:tcW w:w="1060" w:type="dxa"/>
            <w:tcBorders>
              <w:top w:val="nil"/>
              <w:left w:val="nil"/>
              <w:bottom w:val="nil"/>
              <w:right w:val="nil"/>
            </w:tcBorders>
            <w:shd w:val="clear" w:color="000000" w:fill="D7E4BC"/>
            <w:noWrap/>
            <w:vAlign w:val="bottom"/>
            <w:hideMark/>
          </w:tcPr>
          <w:p w:rsidR="0044767C" w:rsidRPr="0044767C" w:rsidRDefault="0044767C" w:rsidP="00C87C7C">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40,856,624</w:t>
            </w:r>
          </w:p>
        </w:tc>
      </w:tr>
    </w:tbl>
    <w:p w:rsidR="0044767C" w:rsidRPr="00FC3753" w:rsidRDefault="00FC3753" w:rsidP="00C87C7C">
      <w:pPr>
        <w:ind w:left="-900"/>
        <w:contextualSpacing/>
        <w:jc w:val="both"/>
        <w:rPr>
          <w:rFonts w:asciiTheme="minorHAnsi" w:hAnsiTheme="minorHAnsi"/>
          <w:sz w:val="20"/>
          <w:szCs w:val="20"/>
        </w:rPr>
      </w:pPr>
      <w:r w:rsidRPr="00FC3753">
        <w:rPr>
          <w:rFonts w:asciiTheme="minorHAnsi" w:hAnsiTheme="minorHAnsi"/>
          <w:i/>
          <w:sz w:val="20"/>
          <w:szCs w:val="20"/>
        </w:rPr>
        <w:t>Source: EMSI</w:t>
      </w:r>
    </w:p>
    <w:p w:rsidR="0044767C" w:rsidRPr="0044767C" w:rsidRDefault="0044767C" w:rsidP="0044767C">
      <w:pPr>
        <w:contextualSpacing/>
        <w:jc w:val="both"/>
        <w:rPr>
          <w:rFonts w:asciiTheme="minorHAnsi" w:hAnsiTheme="minorHAnsi"/>
        </w:rPr>
      </w:pPr>
    </w:p>
    <w:p w:rsidR="0044767C" w:rsidRPr="0044767C" w:rsidRDefault="0085258C" w:rsidP="0044767C">
      <w:pPr>
        <w:contextualSpacing/>
        <w:jc w:val="both"/>
        <w:rPr>
          <w:rFonts w:asciiTheme="minorHAnsi" w:hAnsiTheme="minorHAnsi"/>
        </w:rPr>
      </w:pPr>
      <w:r>
        <w:rPr>
          <w:rFonts w:asciiTheme="minorHAnsi" w:hAnsiTheme="minorHAnsi"/>
        </w:rPr>
        <w:t>In 2015</w:t>
      </w:r>
      <w:r w:rsidR="0044767C" w:rsidRPr="0044767C">
        <w:rPr>
          <w:rFonts w:asciiTheme="minorHAnsi" w:hAnsiTheme="minorHAnsi"/>
        </w:rPr>
        <w:t>, the proportion of the service area popul</w:t>
      </w:r>
      <w:r>
        <w:rPr>
          <w:rFonts w:asciiTheme="minorHAnsi" w:hAnsiTheme="minorHAnsi"/>
        </w:rPr>
        <w:t>ation age 19 and under was 32.49</w:t>
      </w:r>
      <w:r w:rsidR="0044767C" w:rsidRPr="0044767C">
        <w:rPr>
          <w:rFonts w:asciiTheme="minorHAnsi" w:hAnsiTheme="minorHAnsi"/>
        </w:rPr>
        <w:t>% (</w:t>
      </w:r>
      <w:r>
        <w:rPr>
          <w:rFonts w:asciiTheme="minorHAnsi" w:hAnsiTheme="minorHAnsi"/>
        </w:rPr>
        <w:t>303,262</w:t>
      </w:r>
      <w:r w:rsidR="00A35C92">
        <w:rPr>
          <w:rFonts w:asciiTheme="minorHAnsi" w:hAnsiTheme="minorHAnsi"/>
        </w:rPr>
        <w:t xml:space="preserve"> persons).</w:t>
      </w:r>
      <w:r w:rsidR="0044767C" w:rsidRPr="0044767C">
        <w:rPr>
          <w:rFonts w:asciiTheme="minorHAnsi" w:hAnsiTheme="minorHAnsi"/>
        </w:rPr>
        <w:t xml:space="preserve"> </w:t>
      </w:r>
      <w:r w:rsidR="00A35C92">
        <w:rPr>
          <w:rFonts w:asciiTheme="minorHAnsi" w:hAnsiTheme="minorHAnsi"/>
        </w:rPr>
        <w:t>This is more than</w:t>
      </w:r>
      <w:r>
        <w:rPr>
          <w:rFonts w:asciiTheme="minorHAnsi" w:hAnsiTheme="minorHAnsi"/>
        </w:rPr>
        <w:t xml:space="preserve"> the regional proportion of 29.8% (1,353,226 persons) and </w:t>
      </w:r>
      <w:r w:rsidR="00FB6DA3">
        <w:rPr>
          <w:rFonts w:asciiTheme="minorHAnsi" w:hAnsiTheme="minorHAnsi"/>
        </w:rPr>
        <w:t>State-wide</w:t>
      </w:r>
      <w:r>
        <w:rPr>
          <w:rFonts w:asciiTheme="minorHAnsi" w:hAnsiTheme="minorHAnsi"/>
        </w:rPr>
        <w:t xml:space="preserve"> proportion of 26.2% (10,248,339 persons)</w:t>
      </w:r>
      <w:r w:rsidR="00A35C92">
        <w:rPr>
          <w:rFonts w:asciiTheme="minorHAnsi" w:hAnsiTheme="minorHAnsi"/>
        </w:rPr>
        <w:t xml:space="preserve"> during the same year</w:t>
      </w:r>
      <w:r>
        <w:rPr>
          <w:rFonts w:asciiTheme="minorHAnsi" w:hAnsiTheme="minorHAnsi"/>
        </w:rPr>
        <w:t xml:space="preserve">.  </w:t>
      </w:r>
    </w:p>
    <w:p w:rsidR="0044767C" w:rsidRPr="0044767C" w:rsidRDefault="0044767C" w:rsidP="0044767C">
      <w:pPr>
        <w:contextualSpacing/>
        <w:jc w:val="both"/>
        <w:rPr>
          <w:rFonts w:asciiTheme="minorHAnsi" w:hAnsiTheme="minorHAnsi"/>
        </w:rPr>
      </w:pPr>
    </w:p>
    <w:p w:rsidR="00A35C92" w:rsidRPr="0044767C" w:rsidRDefault="00A35C92" w:rsidP="00A35C92">
      <w:pPr>
        <w:contextualSpacing/>
        <w:jc w:val="both"/>
        <w:rPr>
          <w:rFonts w:asciiTheme="minorHAnsi" w:hAnsiTheme="minorHAnsi"/>
        </w:rPr>
      </w:pPr>
      <w:r w:rsidRPr="0044767C">
        <w:rPr>
          <w:rFonts w:asciiTheme="minorHAnsi" w:hAnsiTheme="minorHAnsi"/>
        </w:rPr>
        <w:t xml:space="preserve">Between 2015 and 2025, population projections suggest that </w:t>
      </w:r>
      <w:r w:rsidR="00290289">
        <w:rPr>
          <w:rFonts w:asciiTheme="minorHAnsi" w:hAnsiTheme="minorHAnsi"/>
        </w:rPr>
        <w:t xml:space="preserve">the </w:t>
      </w:r>
      <w:r w:rsidRPr="0044767C">
        <w:rPr>
          <w:rFonts w:asciiTheme="minorHAnsi" w:hAnsiTheme="minorHAnsi"/>
        </w:rPr>
        <w:t xml:space="preserve">proportion of those in the 19 and under age group will increase by 0.8% within the service area </w:t>
      </w:r>
      <w:r>
        <w:rPr>
          <w:rFonts w:asciiTheme="minorHAnsi" w:hAnsiTheme="minorHAnsi"/>
        </w:rPr>
        <w:t xml:space="preserve">(2,427 persons) </w:t>
      </w:r>
      <w:r w:rsidRPr="0044767C">
        <w:rPr>
          <w:rFonts w:asciiTheme="minorHAnsi" w:hAnsiTheme="minorHAnsi"/>
        </w:rPr>
        <w:t>and 1.45% in the region</w:t>
      </w:r>
      <w:r>
        <w:rPr>
          <w:rFonts w:asciiTheme="minorHAnsi" w:hAnsiTheme="minorHAnsi"/>
        </w:rPr>
        <w:t xml:space="preserve"> (19,651 persons)</w:t>
      </w:r>
      <w:r w:rsidRPr="0044767C">
        <w:rPr>
          <w:rFonts w:asciiTheme="minorHAnsi" w:hAnsiTheme="minorHAnsi"/>
        </w:rPr>
        <w:t xml:space="preserve">, which is less than the projected 2.07% increase projected for the proportion of the </w:t>
      </w:r>
      <w:r>
        <w:rPr>
          <w:rFonts w:asciiTheme="minorHAnsi" w:hAnsiTheme="minorHAnsi"/>
        </w:rPr>
        <w:t>State-wide</w:t>
      </w:r>
      <w:r w:rsidRPr="0044767C">
        <w:rPr>
          <w:rFonts w:asciiTheme="minorHAnsi" w:hAnsiTheme="minorHAnsi"/>
        </w:rPr>
        <w:t xml:space="preserve"> population in the same age group</w:t>
      </w:r>
      <w:r>
        <w:rPr>
          <w:rFonts w:asciiTheme="minorHAnsi" w:hAnsiTheme="minorHAnsi"/>
        </w:rPr>
        <w:t xml:space="preserve"> (212,632 persons)</w:t>
      </w:r>
      <w:r w:rsidRPr="0044767C">
        <w:rPr>
          <w:rFonts w:asciiTheme="minorHAnsi" w:hAnsiTheme="minorHAnsi"/>
        </w:rPr>
        <w:t>.</w:t>
      </w:r>
    </w:p>
    <w:p w:rsidR="00A35C92" w:rsidRDefault="00A35C92"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 xml:space="preserve">The 20-24 age </w:t>
      </w:r>
      <w:proofErr w:type="gramStart"/>
      <w:r w:rsidRPr="0044767C">
        <w:rPr>
          <w:rFonts w:asciiTheme="minorHAnsi" w:hAnsiTheme="minorHAnsi"/>
        </w:rPr>
        <w:t>group</w:t>
      </w:r>
      <w:proofErr w:type="gramEnd"/>
      <w:r w:rsidRPr="0044767C">
        <w:rPr>
          <w:rFonts w:asciiTheme="minorHAnsi" w:hAnsiTheme="minorHAnsi"/>
        </w:rPr>
        <w:t xml:space="preserve"> may be considered CHC’s co</w:t>
      </w:r>
      <w:r w:rsidR="00A35C92">
        <w:rPr>
          <w:rFonts w:asciiTheme="minorHAnsi" w:hAnsiTheme="minorHAnsi"/>
        </w:rPr>
        <w:t xml:space="preserve">re </w:t>
      </w:r>
      <w:r w:rsidR="00290289">
        <w:rPr>
          <w:rFonts w:asciiTheme="minorHAnsi" w:hAnsiTheme="minorHAnsi"/>
        </w:rPr>
        <w:t xml:space="preserve">age </w:t>
      </w:r>
      <w:r w:rsidR="00A35C92">
        <w:rPr>
          <w:rFonts w:asciiTheme="minorHAnsi" w:hAnsiTheme="minorHAnsi"/>
        </w:rPr>
        <w:t>demographic.</w:t>
      </w:r>
      <w:r w:rsidRPr="0044767C">
        <w:rPr>
          <w:rFonts w:asciiTheme="minorHAnsi" w:hAnsiTheme="minorHAnsi"/>
        </w:rPr>
        <w:t xml:space="preserve"> </w:t>
      </w:r>
      <w:r w:rsidR="00A35C92">
        <w:rPr>
          <w:rFonts w:asciiTheme="minorHAnsi" w:hAnsiTheme="minorHAnsi"/>
        </w:rPr>
        <w:t xml:space="preserve">The 20-24 age </w:t>
      </w:r>
      <w:proofErr w:type="gramStart"/>
      <w:r w:rsidR="00A35C92">
        <w:rPr>
          <w:rFonts w:asciiTheme="minorHAnsi" w:hAnsiTheme="minorHAnsi"/>
        </w:rPr>
        <w:t>group</w:t>
      </w:r>
      <w:proofErr w:type="gramEnd"/>
      <w:r w:rsidR="00A35C92">
        <w:rPr>
          <w:rFonts w:asciiTheme="minorHAnsi" w:hAnsiTheme="minorHAnsi"/>
        </w:rPr>
        <w:t xml:space="preserve"> </w:t>
      </w:r>
      <w:r w:rsidR="002A3C77">
        <w:rPr>
          <w:rFonts w:asciiTheme="minorHAnsi" w:hAnsiTheme="minorHAnsi"/>
        </w:rPr>
        <w:t>accounted for 9.19</w:t>
      </w:r>
      <w:r w:rsidRPr="0044767C">
        <w:rPr>
          <w:rFonts w:asciiTheme="minorHAnsi" w:hAnsiTheme="minorHAnsi"/>
        </w:rPr>
        <w:t>% of the</w:t>
      </w:r>
      <w:r w:rsidR="002A3C77">
        <w:rPr>
          <w:rFonts w:asciiTheme="minorHAnsi" w:hAnsiTheme="minorHAnsi"/>
        </w:rPr>
        <w:t xml:space="preserve"> service area population in 2015</w:t>
      </w:r>
      <w:r w:rsidR="00FC3753">
        <w:rPr>
          <w:rFonts w:asciiTheme="minorHAnsi" w:hAnsiTheme="minorHAnsi"/>
        </w:rPr>
        <w:t xml:space="preserve"> </w:t>
      </w:r>
      <w:r w:rsidR="00FC3753" w:rsidRPr="0044767C">
        <w:rPr>
          <w:rFonts w:asciiTheme="minorHAnsi" w:hAnsiTheme="minorHAnsi"/>
        </w:rPr>
        <w:t>(</w:t>
      </w:r>
      <w:r w:rsidR="002A3C77">
        <w:rPr>
          <w:rFonts w:asciiTheme="minorHAnsi" w:hAnsiTheme="minorHAnsi"/>
        </w:rPr>
        <w:t>85,783</w:t>
      </w:r>
      <w:r w:rsidR="00FC3753" w:rsidRPr="0044767C">
        <w:rPr>
          <w:rFonts w:asciiTheme="minorHAnsi" w:hAnsiTheme="minorHAnsi"/>
        </w:rPr>
        <w:t xml:space="preserve"> persons)</w:t>
      </w:r>
      <w:r w:rsidRPr="0044767C">
        <w:rPr>
          <w:rFonts w:asciiTheme="minorHAnsi" w:hAnsiTheme="minorHAnsi"/>
        </w:rPr>
        <w:t xml:space="preserve">. The proportion of the service area population in the 20-24 age </w:t>
      </w:r>
      <w:proofErr w:type="gramStart"/>
      <w:r w:rsidRPr="0044767C">
        <w:rPr>
          <w:rFonts w:asciiTheme="minorHAnsi" w:hAnsiTheme="minorHAnsi"/>
        </w:rPr>
        <w:t>group</w:t>
      </w:r>
      <w:proofErr w:type="gramEnd"/>
      <w:r w:rsidRPr="0044767C">
        <w:rPr>
          <w:rFonts w:asciiTheme="minorHAnsi" w:hAnsiTheme="minorHAnsi"/>
        </w:rPr>
        <w:t xml:space="preserve"> </w:t>
      </w:r>
      <w:r w:rsidR="00A35C92">
        <w:rPr>
          <w:rFonts w:asciiTheme="minorHAnsi" w:hAnsiTheme="minorHAnsi"/>
        </w:rPr>
        <w:t>exceeds</w:t>
      </w:r>
      <w:r w:rsidRPr="0044767C">
        <w:rPr>
          <w:rFonts w:asciiTheme="minorHAnsi" w:hAnsiTheme="minorHAnsi"/>
        </w:rPr>
        <w:t xml:space="preserve"> the regional proportion of </w:t>
      </w:r>
      <w:r w:rsidR="002A3C77">
        <w:rPr>
          <w:rFonts w:asciiTheme="minorHAnsi" w:hAnsiTheme="minorHAnsi"/>
        </w:rPr>
        <w:t>8.3</w:t>
      </w:r>
      <w:r w:rsidRPr="0044767C">
        <w:rPr>
          <w:rFonts w:asciiTheme="minorHAnsi" w:hAnsiTheme="minorHAnsi"/>
        </w:rPr>
        <w:t>% (</w:t>
      </w:r>
      <w:r w:rsidR="002A3C77">
        <w:rPr>
          <w:rFonts w:asciiTheme="minorHAnsi" w:hAnsiTheme="minorHAnsi"/>
        </w:rPr>
        <w:t>376,421</w:t>
      </w:r>
      <w:r w:rsidRPr="0044767C">
        <w:rPr>
          <w:rFonts w:asciiTheme="minorHAnsi" w:hAnsiTheme="minorHAnsi"/>
        </w:rPr>
        <w:t xml:space="preserve"> persons)</w:t>
      </w:r>
      <w:r w:rsidR="002A3C77">
        <w:rPr>
          <w:rFonts w:asciiTheme="minorHAnsi" w:hAnsiTheme="minorHAnsi"/>
        </w:rPr>
        <w:t xml:space="preserve"> and the </w:t>
      </w:r>
      <w:r w:rsidR="00FB6DA3">
        <w:rPr>
          <w:rFonts w:asciiTheme="minorHAnsi" w:hAnsiTheme="minorHAnsi"/>
        </w:rPr>
        <w:t>State</w:t>
      </w:r>
      <w:r w:rsidR="002A3C77">
        <w:rPr>
          <w:rFonts w:asciiTheme="minorHAnsi" w:hAnsiTheme="minorHAnsi"/>
        </w:rPr>
        <w:t xml:space="preserve"> proportion of 8</w:t>
      </w:r>
      <w:r w:rsidRPr="0044767C">
        <w:rPr>
          <w:rFonts w:asciiTheme="minorHAnsi" w:hAnsiTheme="minorHAnsi"/>
        </w:rPr>
        <w:t>%</w:t>
      </w:r>
      <w:r w:rsidR="002A3C77">
        <w:rPr>
          <w:rFonts w:asciiTheme="minorHAnsi" w:hAnsiTheme="minorHAnsi"/>
        </w:rPr>
        <w:t xml:space="preserve"> (3,122,810 persons)</w:t>
      </w:r>
      <w:r w:rsidRPr="0044767C">
        <w:rPr>
          <w:rFonts w:asciiTheme="minorHAnsi" w:hAnsiTheme="minorHAnsi"/>
        </w:rPr>
        <w:t>.</w:t>
      </w:r>
    </w:p>
    <w:p w:rsidR="0044767C" w:rsidRPr="0044767C" w:rsidRDefault="0044767C" w:rsidP="0044767C">
      <w:pPr>
        <w:contextualSpacing/>
        <w:jc w:val="both"/>
        <w:rPr>
          <w:rFonts w:asciiTheme="minorHAnsi" w:hAnsiTheme="minorHAnsi"/>
        </w:rPr>
      </w:pPr>
    </w:p>
    <w:p w:rsidR="0044767C" w:rsidRDefault="0044767C" w:rsidP="0044767C">
      <w:pPr>
        <w:contextualSpacing/>
        <w:jc w:val="both"/>
        <w:rPr>
          <w:rFonts w:asciiTheme="minorHAnsi" w:hAnsiTheme="minorHAnsi"/>
        </w:rPr>
      </w:pPr>
      <w:r w:rsidRPr="0044767C">
        <w:rPr>
          <w:rFonts w:asciiTheme="minorHAnsi" w:hAnsiTheme="minorHAnsi"/>
        </w:rPr>
        <w:t xml:space="preserve">Between 2015 and 2025, population projections suggest that the proportion of those in the 20-24 age group will decrease by 22.04% </w:t>
      </w:r>
      <w:r w:rsidR="00A35C92">
        <w:rPr>
          <w:rFonts w:asciiTheme="minorHAnsi" w:hAnsiTheme="minorHAnsi"/>
        </w:rPr>
        <w:t xml:space="preserve">(-18,903 persons) </w:t>
      </w:r>
      <w:r w:rsidRPr="0044767C">
        <w:rPr>
          <w:rFonts w:asciiTheme="minorHAnsi" w:hAnsiTheme="minorHAnsi"/>
        </w:rPr>
        <w:t xml:space="preserve">in the service area population and 20.23% </w:t>
      </w:r>
      <w:r w:rsidR="00A35C92">
        <w:rPr>
          <w:rFonts w:asciiTheme="minorHAnsi" w:hAnsiTheme="minorHAnsi"/>
        </w:rPr>
        <w:t xml:space="preserve">(-76,153 persons) </w:t>
      </w:r>
      <w:r w:rsidRPr="0044767C">
        <w:rPr>
          <w:rFonts w:asciiTheme="minorHAnsi" w:hAnsiTheme="minorHAnsi"/>
        </w:rPr>
        <w:t>in the regional population. These are larger decreases than the projected 16.75%</w:t>
      </w:r>
      <w:r w:rsidR="00A35C92">
        <w:rPr>
          <w:rFonts w:asciiTheme="minorHAnsi" w:hAnsiTheme="minorHAnsi"/>
        </w:rPr>
        <w:t xml:space="preserve"> (-522,916 persons)</w:t>
      </w:r>
      <w:r w:rsidRPr="0044767C">
        <w:rPr>
          <w:rFonts w:asciiTheme="minorHAnsi" w:hAnsiTheme="minorHAnsi"/>
        </w:rPr>
        <w:t xml:space="preserve"> decrease expected for the proportion of the </w:t>
      </w:r>
      <w:r w:rsidR="00FB6DA3">
        <w:rPr>
          <w:rFonts w:asciiTheme="minorHAnsi" w:hAnsiTheme="minorHAnsi"/>
        </w:rPr>
        <w:t>State-wide</w:t>
      </w:r>
      <w:r w:rsidRPr="0044767C">
        <w:rPr>
          <w:rFonts w:asciiTheme="minorHAnsi" w:hAnsiTheme="minorHAnsi"/>
        </w:rPr>
        <w:t xml:space="preserve"> population in the same age group.</w:t>
      </w:r>
    </w:p>
    <w:p w:rsidR="002A3C77" w:rsidRPr="0044767C" w:rsidRDefault="002A3C77"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 xml:space="preserve">From 2015 to 2025, population projections indicate that the proportion of those in the 50 and over age group will increase by 17.02% </w:t>
      </w:r>
      <w:r w:rsidR="00A35C92">
        <w:rPr>
          <w:rFonts w:asciiTheme="minorHAnsi" w:hAnsiTheme="minorHAnsi"/>
        </w:rPr>
        <w:t xml:space="preserve">(46,496 persons) </w:t>
      </w:r>
      <w:r w:rsidRPr="0044767C">
        <w:rPr>
          <w:rFonts w:asciiTheme="minorHAnsi" w:hAnsiTheme="minorHAnsi"/>
        </w:rPr>
        <w:t>in the service area and 16.55%</w:t>
      </w:r>
      <w:r w:rsidR="00A35C92">
        <w:rPr>
          <w:rFonts w:asciiTheme="minorHAnsi" w:hAnsiTheme="minorHAnsi"/>
        </w:rPr>
        <w:t xml:space="preserve"> (216,825 persons)</w:t>
      </w:r>
      <w:r w:rsidRPr="0044767C">
        <w:rPr>
          <w:rFonts w:asciiTheme="minorHAnsi" w:hAnsiTheme="minorHAnsi"/>
        </w:rPr>
        <w:t xml:space="preserve"> in the region. The projected increase for that same age group in the </w:t>
      </w:r>
      <w:r w:rsidR="00FB6DA3">
        <w:rPr>
          <w:rFonts w:asciiTheme="minorHAnsi" w:hAnsiTheme="minorHAnsi"/>
        </w:rPr>
        <w:t>State</w:t>
      </w:r>
      <w:r w:rsidRPr="0044767C">
        <w:rPr>
          <w:rFonts w:asciiTheme="minorHAnsi" w:hAnsiTheme="minorHAnsi"/>
        </w:rPr>
        <w:t xml:space="preserve"> is 15.38%</w:t>
      </w:r>
      <w:r w:rsidR="0090478F">
        <w:rPr>
          <w:rFonts w:asciiTheme="minorHAnsi" w:hAnsiTheme="minorHAnsi"/>
        </w:rPr>
        <w:t xml:space="preserve"> (1,884,696 persons)</w:t>
      </w:r>
      <w:r w:rsidRPr="0044767C">
        <w:rPr>
          <w:rFonts w:asciiTheme="minorHAnsi" w:hAnsiTheme="minorHAnsi"/>
        </w:rPr>
        <w:t>.</w:t>
      </w:r>
      <w:r w:rsidR="004D33B2">
        <w:rPr>
          <w:rFonts w:asciiTheme="minorHAnsi" w:hAnsiTheme="minorHAnsi"/>
        </w:rPr>
        <w:t xml:space="preserve">  </w:t>
      </w:r>
    </w:p>
    <w:p w:rsidR="0044767C" w:rsidRPr="0044767C" w:rsidRDefault="0044767C" w:rsidP="0044767C">
      <w:pPr>
        <w:contextualSpacing/>
        <w:jc w:val="both"/>
        <w:rPr>
          <w:rFonts w:asciiTheme="minorHAnsi" w:hAnsiTheme="minorHAnsi"/>
        </w:rPr>
      </w:pPr>
    </w:p>
    <w:p w:rsidR="0044767C" w:rsidRPr="0044767C" w:rsidRDefault="0044767C" w:rsidP="0090478F">
      <w:pPr>
        <w:contextualSpacing/>
        <w:jc w:val="center"/>
        <w:rPr>
          <w:rFonts w:asciiTheme="minorHAnsi" w:hAnsiTheme="minorHAnsi"/>
          <w:b/>
          <w:color w:val="008000"/>
        </w:rPr>
      </w:pPr>
      <w:r w:rsidRPr="0044767C">
        <w:rPr>
          <w:rFonts w:asciiTheme="minorHAnsi" w:hAnsiTheme="minorHAnsi"/>
          <w:b/>
          <w:noProof/>
          <w:color w:val="008000"/>
        </w:rPr>
        <w:lastRenderedPageBreak/>
        <w:drawing>
          <wp:anchor distT="0" distB="0" distL="114300" distR="114300" simplePos="0" relativeHeight="251663360" behindDoc="0" locked="0" layoutInCell="1" allowOverlap="1">
            <wp:simplePos x="0" y="0"/>
            <wp:positionH relativeFrom="column">
              <wp:posOffset>-333375</wp:posOffset>
            </wp:positionH>
            <wp:positionV relativeFrom="paragraph">
              <wp:posOffset>192405</wp:posOffset>
            </wp:positionV>
            <wp:extent cx="6553200" cy="3781425"/>
            <wp:effectExtent l="0" t="0" r="0"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44767C">
        <w:rPr>
          <w:rFonts w:asciiTheme="minorHAnsi" w:hAnsiTheme="minorHAnsi"/>
          <w:b/>
          <w:color w:val="008000"/>
        </w:rPr>
        <w:t>Exhibit 3.XX Service Area Population by Age Group</w:t>
      </w:r>
    </w:p>
    <w:p w:rsidR="0044767C" w:rsidRPr="0090478F" w:rsidRDefault="0044767C" w:rsidP="0044767C">
      <w:pPr>
        <w:contextualSpacing/>
        <w:jc w:val="both"/>
        <w:rPr>
          <w:rFonts w:asciiTheme="minorHAnsi" w:hAnsiTheme="minorHAnsi"/>
          <w:i/>
          <w:sz w:val="20"/>
          <w:szCs w:val="20"/>
        </w:rPr>
      </w:pPr>
      <w:r w:rsidRPr="0090478F">
        <w:rPr>
          <w:rFonts w:asciiTheme="minorHAnsi" w:hAnsiTheme="minorHAnsi"/>
          <w:i/>
          <w:sz w:val="20"/>
          <w:szCs w:val="20"/>
        </w:rPr>
        <w:t>Source: E</w:t>
      </w:r>
      <w:r w:rsidR="0090478F">
        <w:rPr>
          <w:rFonts w:asciiTheme="minorHAnsi" w:hAnsiTheme="minorHAnsi"/>
          <w:i/>
          <w:sz w:val="20"/>
          <w:szCs w:val="20"/>
        </w:rPr>
        <w:t>MSI</w:t>
      </w:r>
    </w:p>
    <w:p w:rsidR="0044767C" w:rsidRDefault="0044767C" w:rsidP="0044767C">
      <w:pPr>
        <w:contextualSpacing/>
        <w:jc w:val="both"/>
        <w:rPr>
          <w:rFonts w:asciiTheme="minorHAnsi" w:hAnsiTheme="minorHAnsi"/>
        </w:rPr>
      </w:pPr>
    </w:p>
    <w:p w:rsidR="0090478F" w:rsidRPr="0090478F" w:rsidRDefault="0090478F" w:rsidP="0090478F">
      <w:pPr>
        <w:contextualSpacing/>
        <w:jc w:val="center"/>
        <w:rPr>
          <w:rFonts w:asciiTheme="minorHAnsi" w:hAnsiTheme="minorHAnsi"/>
          <w:b/>
          <w:color w:val="008000"/>
        </w:rPr>
      </w:pPr>
      <w:r w:rsidRPr="0044767C">
        <w:rPr>
          <w:rFonts w:asciiTheme="minorHAnsi" w:hAnsiTheme="minorHAnsi"/>
          <w:b/>
          <w:color w:val="008000"/>
        </w:rPr>
        <w:t>Exhibit 3.XX Regional Area Population by Age Group</w:t>
      </w:r>
    </w:p>
    <w:p w:rsidR="0090478F" w:rsidRDefault="0044767C" w:rsidP="0090478F">
      <w:pPr>
        <w:ind w:left="-720"/>
        <w:contextualSpacing/>
        <w:jc w:val="center"/>
        <w:rPr>
          <w:rFonts w:asciiTheme="minorHAnsi" w:hAnsiTheme="minorHAnsi"/>
          <w:b/>
          <w:color w:val="008000"/>
        </w:rPr>
      </w:pPr>
      <w:r w:rsidRPr="0044767C">
        <w:rPr>
          <w:rFonts w:asciiTheme="minorHAnsi" w:hAnsiTheme="minorHAnsi"/>
          <w:b/>
          <w:noProof/>
          <w:color w:val="008000"/>
        </w:rPr>
        <w:drawing>
          <wp:inline distT="0" distB="0" distL="0" distR="0">
            <wp:extent cx="6715125" cy="33432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767C" w:rsidRPr="0090478F" w:rsidRDefault="0090478F" w:rsidP="0044767C">
      <w:pPr>
        <w:contextualSpacing/>
        <w:jc w:val="both"/>
        <w:rPr>
          <w:rFonts w:asciiTheme="minorHAnsi" w:hAnsiTheme="minorHAnsi"/>
          <w:i/>
          <w:sz w:val="20"/>
          <w:szCs w:val="20"/>
        </w:rPr>
      </w:pPr>
      <w:r>
        <w:rPr>
          <w:rFonts w:asciiTheme="minorHAnsi" w:hAnsiTheme="minorHAnsi"/>
          <w:i/>
          <w:sz w:val="20"/>
          <w:szCs w:val="20"/>
        </w:rPr>
        <w:t>Source: EMSI</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lastRenderedPageBreak/>
        <w:t>The service area is estimated to have seen an increase in the</w:t>
      </w:r>
      <w:r w:rsidR="00D1146B">
        <w:rPr>
          <w:rFonts w:asciiTheme="minorHAnsi" w:hAnsiTheme="minorHAnsi"/>
        </w:rPr>
        <w:t xml:space="preserve"> proportion of Hispanics</w:t>
      </w:r>
      <w:r w:rsidRPr="0044767C">
        <w:rPr>
          <w:rFonts w:asciiTheme="minorHAnsi" w:hAnsiTheme="minorHAnsi"/>
        </w:rPr>
        <w:t xml:space="preserve"> between 2010 and 2015 by approximately 11.61%</w:t>
      </w:r>
      <w:r w:rsidR="00DF1869">
        <w:rPr>
          <w:rFonts w:asciiTheme="minorHAnsi" w:hAnsiTheme="minorHAnsi"/>
        </w:rPr>
        <w:t xml:space="preserve"> (56,550 persons)</w:t>
      </w:r>
      <w:r w:rsidRPr="0044767C">
        <w:rPr>
          <w:rFonts w:asciiTheme="minorHAnsi" w:hAnsiTheme="minorHAnsi"/>
        </w:rPr>
        <w:t>. By 2025, th</w:t>
      </w:r>
      <w:r w:rsidR="00D1146B">
        <w:rPr>
          <w:rFonts w:asciiTheme="minorHAnsi" w:hAnsiTheme="minorHAnsi"/>
        </w:rPr>
        <w:t>e proportion of Hispanics</w:t>
      </w:r>
      <w:r w:rsidRPr="0044767C">
        <w:rPr>
          <w:rFonts w:asciiTheme="minorHAnsi" w:hAnsiTheme="minorHAnsi"/>
        </w:rPr>
        <w:t xml:space="preserve"> in the service area is projected to reach 56.79% of the total population </w:t>
      </w:r>
      <w:r w:rsidR="00F22FCB">
        <w:rPr>
          <w:rFonts w:asciiTheme="minorHAnsi" w:hAnsiTheme="minorHAnsi"/>
        </w:rPr>
        <w:t xml:space="preserve">(594,718 persons) </w:t>
      </w:r>
      <w:r w:rsidRPr="0044767C">
        <w:rPr>
          <w:rFonts w:asciiTheme="minorHAnsi" w:hAnsiTheme="minorHAnsi"/>
        </w:rPr>
        <w:t>and 52.51% of the total regional population</w:t>
      </w:r>
      <w:r w:rsidR="00F22FCB">
        <w:rPr>
          <w:rFonts w:asciiTheme="minorHAnsi" w:hAnsiTheme="minorHAnsi"/>
        </w:rPr>
        <w:t xml:space="preserve"> (2,519,083 persons)</w:t>
      </w:r>
      <w:r w:rsidR="00D1146B">
        <w:rPr>
          <w:rFonts w:asciiTheme="minorHAnsi" w:hAnsiTheme="minorHAnsi"/>
        </w:rPr>
        <w:t>. Hispanics</w:t>
      </w:r>
      <w:r w:rsidRPr="0044767C">
        <w:rPr>
          <w:rFonts w:asciiTheme="minorHAnsi" w:hAnsiTheme="minorHAnsi"/>
        </w:rPr>
        <w:t xml:space="preserve"> are proj</w:t>
      </w:r>
      <w:r w:rsidR="00290289">
        <w:rPr>
          <w:rFonts w:asciiTheme="minorHAnsi" w:hAnsiTheme="minorHAnsi"/>
        </w:rPr>
        <w:t>ected to make-</w:t>
      </w:r>
      <w:r w:rsidRPr="0044767C">
        <w:rPr>
          <w:rFonts w:asciiTheme="minorHAnsi" w:hAnsiTheme="minorHAnsi"/>
        </w:rPr>
        <w:t xml:space="preserve">up 40.3% of the </w:t>
      </w:r>
      <w:r w:rsidR="00FB6DA3">
        <w:rPr>
          <w:rFonts w:asciiTheme="minorHAnsi" w:hAnsiTheme="minorHAnsi"/>
        </w:rPr>
        <w:t>State</w:t>
      </w:r>
      <w:r w:rsidRPr="0044767C">
        <w:rPr>
          <w:rFonts w:asciiTheme="minorHAnsi" w:hAnsiTheme="minorHAnsi"/>
        </w:rPr>
        <w:t xml:space="preserve"> population by the year 2025</w:t>
      </w:r>
      <w:r w:rsidR="00F22FCB">
        <w:rPr>
          <w:rFonts w:asciiTheme="minorHAnsi" w:hAnsiTheme="minorHAnsi"/>
        </w:rPr>
        <w:t xml:space="preserve"> (16,555,395 persons)</w:t>
      </w:r>
      <w:r w:rsidRPr="0044767C">
        <w:rPr>
          <w:rFonts w:asciiTheme="minorHAnsi" w:hAnsiTheme="minorHAnsi"/>
        </w:rPr>
        <w:t>.</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 xml:space="preserve">Between 2010 and 2015 the service area is </w:t>
      </w:r>
      <w:r w:rsidR="00C65FCF">
        <w:rPr>
          <w:rFonts w:asciiTheme="minorHAnsi" w:hAnsiTheme="minorHAnsi"/>
        </w:rPr>
        <w:t xml:space="preserve">estimated to have seen a </w:t>
      </w:r>
      <w:r w:rsidRPr="0044767C">
        <w:rPr>
          <w:rFonts w:asciiTheme="minorHAnsi" w:hAnsiTheme="minorHAnsi"/>
        </w:rPr>
        <w:t>decrease of Caucasians by approximately 4.45%</w:t>
      </w:r>
      <w:r w:rsidR="00C65FCF">
        <w:rPr>
          <w:rFonts w:asciiTheme="minorHAnsi" w:hAnsiTheme="minorHAnsi"/>
        </w:rPr>
        <w:t xml:space="preserve"> (-12,741 persons)</w:t>
      </w:r>
      <w:r w:rsidRPr="0044767C">
        <w:rPr>
          <w:rFonts w:asciiTheme="minorHAnsi" w:hAnsiTheme="minorHAnsi"/>
        </w:rPr>
        <w:t>. Caucasians in the region</w:t>
      </w:r>
      <w:r w:rsidR="00C65FCF">
        <w:rPr>
          <w:rFonts w:asciiTheme="minorHAnsi" w:hAnsiTheme="minorHAnsi"/>
        </w:rPr>
        <w:t>al population</w:t>
      </w:r>
      <w:r w:rsidRPr="0044767C">
        <w:rPr>
          <w:rFonts w:asciiTheme="minorHAnsi" w:hAnsiTheme="minorHAnsi"/>
        </w:rPr>
        <w:t xml:space="preserve"> are estimated to h</w:t>
      </w:r>
      <w:r w:rsidR="00C65FCF">
        <w:rPr>
          <w:rFonts w:asciiTheme="minorHAnsi" w:hAnsiTheme="minorHAnsi"/>
        </w:rPr>
        <w:t>ave decreased by approximately 2</w:t>
      </w:r>
      <w:r w:rsidRPr="0044767C">
        <w:rPr>
          <w:rFonts w:asciiTheme="minorHAnsi" w:hAnsiTheme="minorHAnsi"/>
        </w:rPr>
        <w:t>.2% in the same time period</w:t>
      </w:r>
      <w:r w:rsidR="00C65FCF">
        <w:rPr>
          <w:rFonts w:asciiTheme="minorHAnsi" w:hAnsiTheme="minorHAnsi"/>
        </w:rPr>
        <w:t xml:space="preserve"> (</w:t>
      </w:r>
      <w:r w:rsidR="00C24D48">
        <w:rPr>
          <w:rFonts w:asciiTheme="minorHAnsi" w:hAnsiTheme="minorHAnsi"/>
        </w:rPr>
        <w:t>-</w:t>
      </w:r>
      <w:r w:rsidR="00C65FCF">
        <w:rPr>
          <w:rFonts w:asciiTheme="minorHAnsi" w:hAnsiTheme="minorHAnsi"/>
        </w:rPr>
        <w:t xml:space="preserve">34,730 persons). Caucasians in the </w:t>
      </w:r>
      <w:r w:rsidR="00FB6DA3">
        <w:rPr>
          <w:rFonts w:asciiTheme="minorHAnsi" w:hAnsiTheme="minorHAnsi"/>
        </w:rPr>
        <w:t>State-wide</w:t>
      </w:r>
      <w:r w:rsidR="00C65FCF">
        <w:rPr>
          <w:rFonts w:asciiTheme="minorHAnsi" w:hAnsiTheme="minorHAnsi"/>
        </w:rPr>
        <w:t xml:space="preserve"> population are estimated to have decreased by 1.5% between 2010 and 2015 (</w:t>
      </w:r>
      <w:r w:rsidR="00C24D48">
        <w:rPr>
          <w:rFonts w:asciiTheme="minorHAnsi" w:hAnsiTheme="minorHAnsi"/>
        </w:rPr>
        <w:t>-</w:t>
      </w:r>
      <w:r w:rsidR="00C65FCF">
        <w:rPr>
          <w:rFonts w:asciiTheme="minorHAnsi" w:hAnsiTheme="minorHAnsi"/>
        </w:rPr>
        <w:t>231,334 persons).</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Betwe</w:t>
      </w:r>
      <w:r w:rsidR="005B02D5">
        <w:rPr>
          <w:rFonts w:asciiTheme="minorHAnsi" w:hAnsiTheme="minorHAnsi"/>
        </w:rPr>
        <w:t>en 2015 and 2025, the number</w:t>
      </w:r>
      <w:r w:rsidRPr="0044767C">
        <w:rPr>
          <w:rFonts w:asciiTheme="minorHAnsi" w:hAnsiTheme="minorHAnsi"/>
        </w:rPr>
        <w:t xml:space="preserve"> of Caucasians in the service area is projected to decrease by 5.29%</w:t>
      </w:r>
      <w:r w:rsidR="005B02D5">
        <w:rPr>
          <w:rFonts w:asciiTheme="minorHAnsi" w:hAnsiTheme="minorHAnsi"/>
        </w:rPr>
        <w:t xml:space="preserve"> (</w:t>
      </w:r>
      <w:r w:rsidR="0055724D">
        <w:rPr>
          <w:rFonts w:asciiTheme="minorHAnsi" w:hAnsiTheme="minorHAnsi"/>
        </w:rPr>
        <w:t>-</w:t>
      </w:r>
      <w:r w:rsidR="005B02D5">
        <w:rPr>
          <w:rFonts w:asciiTheme="minorHAnsi" w:hAnsiTheme="minorHAnsi"/>
        </w:rPr>
        <w:t>14,488 persons)</w:t>
      </w:r>
      <w:r w:rsidRPr="0044767C">
        <w:rPr>
          <w:rFonts w:asciiTheme="minorHAnsi" w:hAnsiTheme="minorHAnsi"/>
        </w:rPr>
        <w:t xml:space="preserve"> and 3.77% in the region</w:t>
      </w:r>
      <w:r w:rsidR="005B02D5">
        <w:rPr>
          <w:rFonts w:asciiTheme="minorHAnsi" w:hAnsiTheme="minorHAnsi"/>
        </w:rPr>
        <w:t xml:space="preserve"> (</w:t>
      </w:r>
      <w:r w:rsidR="0055724D">
        <w:rPr>
          <w:rFonts w:asciiTheme="minorHAnsi" w:hAnsiTheme="minorHAnsi"/>
        </w:rPr>
        <w:t>-</w:t>
      </w:r>
      <w:r w:rsidR="005B02D5">
        <w:rPr>
          <w:rFonts w:asciiTheme="minorHAnsi" w:hAnsiTheme="minorHAnsi"/>
        </w:rPr>
        <w:t>57,336 persons). The number</w:t>
      </w:r>
      <w:r w:rsidRPr="0044767C">
        <w:rPr>
          <w:rFonts w:asciiTheme="minorHAnsi" w:hAnsiTheme="minorHAnsi"/>
        </w:rPr>
        <w:t xml:space="preserve"> of Caucasians in the </w:t>
      </w:r>
      <w:r w:rsidR="00FB6DA3">
        <w:rPr>
          <w:rFonts w:asciiTheme="minorHAnsi" w:hAnsiTheme="minorHAnsi"/>
        </w:rPr>
        <w:t>State</w:t>
      </w:r>
      <w:r w:rsidRPr="0044767C">
        <w:rPr>
          <w:rFonts w:asciiTheme="minorHAnsi" w:hAnsiTheme="minorHAnsi"/>
        </w:rPr>
        <w:t xml:space="preserve"> is projected to decrease by 0.77% in the same time period</w:t>
      </w:r>
      <w:r w:rsidR="005B02D5">
        <w:rPr>
          <w:rFonts w:asciiTheme="minorHAnsi" w:hAnsiTheme="minorHAnsi"/>
        </w:rPr>
        <w:t xml:space="preserve"> (</w:t>
      </w:r>
      <w:r w:rsidR="0055724D">
        <w:rPr>
          <w:rFonts w:asciiTheme="minorHAnsi" w:hAnsiTheme="minorHAnsi"/>
        </w:rPr>
        <w:t>-</w:t>
      </w:r>
      <w:r w:rsidR="005B02D5">
        <w:rPr>
          <w:rFonts w:asciiTheme="minorHAnsi" w:hAnsiTheme="minorHAnsi"/>
        </w:rPr>
        <w:t>113,913 persons)</w:t>
      </w:r>
      <w:r w:rsidR="005D2C17">
        <w:rPr>
          <w:rFonts w:asciiTheme="minorHAnsi" w:hAnsiTheme="minorHAnsi"/>
        </w:rPr>
        <w:t>.</w:t>
      </w:r>
    </w:p>
    <w:p w:rsidR="005D2C17" w:rsidRDefault="005D2C17"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CC34E7">
        <w:rPr>
          <w:rFonts w:asciiTheme="minorHAnsi" w:hAnsiTheme="minorHAnsi"/>
        </w:rPr>
        <w:t xml:space="preserve">In 2015, </w:t>
      </w:r>
      <w:r w:rsidR="005D2C17" w:rsidRPr="00CC34E7">
        <w:rPr>
          <w:rFonts w:asciiTheme="minorHAnsi" w:hAnsiTheme="minorHAnsi"/>
        </w:rPr>
        <w:t xml:space="preserve">the proportion of </w:t>
      </w:r>
      <w:r w:rsidRPr="00CC34E7">
        <w:rPr>
          <w:rFonts w:asciiTheme="minorHAnsi" w:hAnsiTheme="minorHAnsi"/>
        </w:rPr>
        <w:t xml:space="preserve">African Americans </w:t>
      </w:r>
      <w:r w:rsidR="005D2C17" w:rsidRPr="00CC34E7">
        <w:rPr>
          <w:rFonts w:asciiTheme="minorHAnsi" w:hAnsiTheme="minorHAnsi"/>
        </w:rPr>
        <w:t xml:space="preserve">within the service area population was </w:t>
      </w:r>
      <w:r w:rsidRPr="00CC34E7">
        <w:rPr>
          <w:rFonts w:asciiTheme="minorHAnsi" w:hAnsiTheme="minorHAnsi"/>
        </w:rPr>
        <w:t xml:space="preserve">9.39% </w:t>
      </w:r>
      <w:r w:rsidR="005D2C17" w:rsidRPr="00CC34E7">
        <w:rPr>
          <w:rFonts w:asciiTheme="minorHAnsi" w:hAnsiTheme="minorHAnsi"/>
        </w:rPr>
        <w:t>(92,937 persons)</w:t>
      </w:r>
      <w:r w:rsidR="00555F4B" w:rsidRPr="00CC34E7">
        <w:rPr>
          <w:rFonts w:asciiTheme="minorHAnsi" w:hAnsiTheme="minorHAnsi"/>
        </w:rPr>
        <w:t>.</w:t>
      </w:r>
      <w:r w:rsidR="00CC34E7">
        <w:rPr>
          <w:rFonts w:asciiTheme="minorHAnsi" w:hAnsiTheme="minorHAnsi"/>
        </w:rPr>
        <w:t xml:space="preserve"> </w:t>
      </w:r>
      <w:r w:rsidRPr="0044767C">
        <w:rPr>
          <w:rFonts w:asciiTheme="minorHAnsi" w:hAnsiTheme="minorHAnsi"/>
        </w:rPr>
        <w:t>B</w:t>
      </w:r>
      <w:r w:rsidR="00CC34E7">
        <w:rPr>
          <w:rFonts w:asciiTheme="minorHAnsi" w:hAnsiTheme="minorHAnsi"/>
        </w:rPr>
        <w:t xml:space="preserve">y 2025 the proportion of </w:t>
      </w:r>
      <w:r w:rsidRPr="0044767C">
        <w:rPr>
          <w:rFonts w:asciiTheme="minorHAnsi" w:hAnsiTheme="minorHAnsi"/>
        </w:rPr>
        <w:t xml:space="preserve">African Americans is projected to make up 9.04% of the service area population </w:t>
      </w:r>
      <w:r w:rsidR="00CC34E7">
        <w:rPr>
          <w:rFonts w:asciiTheme="minorHAnsi" w:hAnsiTheme="minorHAnsi"/>
        </w:rPr>
        <w:t xml:space="preserve">(94,626 persons) </w:t>
      </w:r>
      <w:r w:rsidRPr="0044767C">
        <w:rPr>
          <w:rFonts w:asciiTheme="minorHAnsi" w:hAnsiTheme="minorHAnsi"/>
        </w:rPr>
        <w:t>and 6.96% of the regional population</w:t>
      </w:r>
      <w:r w:rsidR="00CC34E7">
        <w:rPr>
          <w:rFonts w:asciiTheme="minorHAnsi" w:hAnsiTheme="minorHAnsi"/>
        </w:rPr>
        <w:t xml:space="preserve"> (333,696 persons)</w:t>
      </w:r>
      <w:r w:rsidRPr="0044767C">
        <w:rPr>
          <w:rFonts w:asciiTheme="minorHAnsi" w:hAnsiTheme="minorHAnsi"/>
        </w:rPr>
        <w:t xml:space="preserve">, as compared to the projected 5.5% of the </w:t>
      </w:r>
      <w:r w:rsidR="00FB6DA3">
        <w:rPr>
          <w:rFonts w:asciiTheme="minorHAnsi" w:hAnsiTheme="minorHAnsi"/>
        </w:rPr>
        <w:t>State</w:t>
      </w:r>
      <w:r w:rsidRPr="0044767C">
        <w:rPr>
          <w:rFonts w:asciiTheme="minorHAnsi" w:hAnsiTheme="minorHAnsi"/>
        </w:rPr>
        <w:t xml:space="preserve"> population</w:t>
      </w:r>
      <w:r w:rsidR="00CC34E7">
        <w:rPr>
          <w:rFonts w:asciiTheme="minorHAnsi" w:hAnsiTheme="minorHAnsi"/>
        </w:rPr>
        <w:t xml:space="preserve"> (2,259,304 persons)</w:t>
      </w:r>
      <w:r w:rsidRPr="0044767C">
        <w:rPr>
          <w:rFonts w:asciiTheme="minorHAnsi" w:hAnsiTheme="minorHAnsi"/>
        </w:rPr>
        <w:t>.</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In 2015, the proportion of Asians in the service</w:t>
      </w:r>
      <w:r w:rsidR="00ED64C1">
        <w:rPr>
          <w:rFonts w:asciiTheme="minorHAnsi" w:hAnsiTheme="minorHAnsi"/>
        </w:rPr>
        <w:t xml:space="preserve"> area population was</w:t>
      </w:r>
      <w:r w:rsidRPr="0044767C">
        <w:rPr>
          <w:rFonts w:asciiTheme="minorHAnsi" w:hAnsiTheme="minorHAnsi"/>
        </w:rPr>
        <w:t xml:space="preserve"> 5.77%</w:t>
      </w:r>
      <w:r w:rsidR="00ED64C1">
        <w:rPr>
          <w:rFonts w:asciiTheme="minorHAnsi" w:hAnsiTheme="minorHAnsi"/>
        </w:rPr>
        <w:t xml:space="preserve"> (57,064 persons).</w:t>
      </w:r>
      <w:r w:rsidRPr="0044767C">
        <w:rPr>
          <w:rFonts w:asciiTheme="minorHAnsi" w:hAnsiTheme="minorHAnsi"/>
        </w:rPr>
        <w:t xml:space="preserve"> By 2025, the proportion of Asians in the service area is projected to be 6.26% </w:t>
      </w:r>
      <w:r w:rsidR="00ED64C1">
        <w:rPr>
          <w:rFonts w:asciiTheme="minorHAnsi" w:hAnsiTheme="minorHAnsi"/>
        </w:rPr>
        <w:t xml:space="preserve">(65,527 persons) </w:t>
      </w:r>
      <w:r w:rsidRPr="0044767C">
        <w:rPr>
          <w:rFonts w:asciiTheme="minorHAnsi" w:hAnsiTheme="minorHAnsi"/>
        </w:rPr>
        <w:t>and 6.99% in the region</w:t>
      </w:r>
      <w:r w:rsidR="00ED64C1">
        <w:rPr>
          <w:rFonts w:asciiTheme="minorHAnsi" w:hAnsiTheme="minorHAnsi"/>
        </w:rPr>
        <w:t xml:space="preserve"> (335,560 persons)</w:t>
      </w:r>
      <w:r w:rsidRPr="0044767C">
        <w:rPr>
          <w:rFonts w:asciiTheme="minorHAnsi" w:hAnsiTheme="minorHAnsi"/>
        </w:rPr>
        <w:t xml:space="preserve">, as compared to 14.85% in the </w:t>
      </w:r>
      <w:r w:rsidR="00FB6DA3">
        <w:rPr>
          <w:rFonts w:asciiTheme="minorHAnsi" w:hAnsiTheme="minorHAnsi"/>
        </w:rPr>
        <w:t>State</w:t>
      </w:r>
      <w:r w:rsidR="00ED64C1">
        <w:rPr>
          <w:rFonts w:asciiTheme="minorHAnsi" w:hAnsiTheme="minorHAnsi"/>
        </w:rPr>
        <w:t xml:space="preserve"> (6,101,547 persons)</w:t>
      </w:r>
      <w:r w:rsidRPr="0044767C">
        <w:rPr>
          <w:rFonts w:asciiTheme="minorHAnsi" w:hAnsiTheme="minorHAnsi"/>
        </w:rPr>
        <w:t>.</w:t>
      </w:r>
    </w:p>
    <w:p w:rsidR="005D2C17" w:rsidRPr="0044767C" w:rsidRDefault="005D2C17" w:rsidP="0044767C">
      <w:pPr>
        <w:contextualSpacing/>
        <w:jc w:val="both"/>
        <w:rPr>
          <w:rFonts w:asciiTheme="minorHAnsi" w:hAnsiTheme="minorHAnsi"/>
        </w:rPr>
      </w:pPr>
    </w:p>
    <w:p w:rsidR="0044767C" w:rsidRPr="0044767C" w:rsidRDefault="0044767C" w:rsidP="00ED64C1">
      <w:pPr>
        <w:contextualSpacing/>
        <w:jc w:val="center"/>
        <w:rPr>
          <w:rFonts w:asciiTheme="minorHAnsi" w:hAnsiTheme="minorHAnsi"/>
          <w:b/>
          <w:color w:val="008000"/>
        </w:rPr>
      </w:pPr>
      <w:r w:rsidRPr="0044767C">
        <w:rPr>
          <w:rFonts w:asciiTheme="minorHAnsi" w:hAnsiTheme="minorHAnsi"/>
          <w:b/>
          <w:noProof/>
          <w:color w:val="008000"/>
        </w:rPr>
        <w:drawing>
          <wp:anchor distT="0" distB="0" distL="114300" distR="114300" simplePos="0" relativeHeight="251665408" behindDoc="1" locked="0" layoutInCell="1" allowOverlap="1">
            <wp:simplePos x="0" y="0"/>
            <wp:positionH relativeFrom="column">
              <wp:posOffset>-523875</wp:posOffset>
            </wp:positionH>
            <wp:positionV relativeFrom="paragraph">
              <wp:posOffset>194945</wp:posOffset>
            </wp:positionV>
            <wp:extent cx="6781800" cy="3371850"/>
            <wp:effectExtent l="0" t="0" r="0" b="0"/>
            <wp:wrapTight wrapText="bothSides">
              <wp:wrapPolygon edited="0">
                <wp:start x="1578" y="0"/>
                <wp:lineTo x="1213" y="122"/>
                <wp:lineTo x="1274" y="1831"/>
                <wp:lineTo x="61" y="2441"/>
                <wp:lineTo x="61" y="4759"/>
                <wp:lineTo x="3762" y="5980"/>
                <wp:lineTo x="121" y="5980"/>
                <wp:lineTo x="121" y="8786"/>
                <wp:lineTo x="3337" y="9885"/>
                <wp:lineTo x="121" y="10251"/>
                <wp:lineTo x="121" y="10861"/>
                <wp:lineTo x="3458" y="11837"/>
                <wp:lineTo x="121" y="12325"/>
                <wp:lineTo x="121" y="12936"/>
                <wp:lineTo x="3458" y="13790"/>
                <wp:lineTo x="121" y="14400"/>
                <wp:lineTo x="121" y="15010"/>
                <wp:lineTo x="3519" y="15742"/>
                <wp:lineTo x="61" y="16475"/>
                <wp:lineTo x="121" y="17085"/>
                <wp:lineTo x="10800" y="17695"/>
                <wp:lineTo x="121" y="17939"/>
                <wp:lineTo x="121" y="19159"/>
                <wp:lineTo x="10800" y="19647"/>
                <wp:lineTo x="2245" y="20380"/>
                <wp:lineTo x="1031" y="20624"/>
                <wp:lineTo x="1031" y="21356"/>
                <wp:lineTo x="21418" y="21356"/>
                <wp:lineTo x="21539" y="20502"/>
                <wp:lineTo x="10800" y="19647"/>
                <wp:lineTo x="21539" y="18305"/>
                <wp:lineTo x="21539" y="17695"/>
                <wp:lineTo x="10800" y="17695"/>
                <wp:lineTo x="21539" y="16353"/>
                <wp:lineTo x="21539" y="15742"/>
                <wp:lineTo x="5157" y="15742"/>
                <wp:lineTo x="21539" y="14278"/>
                <wp:lineTo x="21539" y="9519"/>
                <wp:lineTo x="21418" y="9275"/>
                <wp:lineTo x="20933" y="7932"/>
                <wp:lineTo x="21539" y="7932"/>
                <wp:lineTo x="21539" y="7322"/>
                <wp:lineTo x="6431" y="5980"/>
                <wp:lineTo x="21539" y="5980"/>
                <wp:lineTo x="21539" y="5247"/>
                <wp:lineTo x="1031" y="4027"/>
                <wp:lineTo x="21539" y="4027"/>
                <wp:lineTo x="21539" y="3173"/>
                <wp:lineTo x="10800" y="2075"/>
                <wp:lineTo x="20629" y="1831"/>
                <wp:lineTo x="20751" y="1220"/>
                <wp:lineTo x="15836" y="0"/>
                <wp:lineTo x="1578"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44767C">
        <w:rPr>
          <w:rFonts w:asciiTheme="minorHAnsi" w:hAnsiTheme="minorHAnsi"/>
          <w:b/>
          <w:color w:val="008000"/>
        </w:rPr>
        <w:t>Exhibit 3.XX Service Area Population by Race/Ethnicity</w:t>
      </w:r>
    </w:p>
    <w:p w:rsidR="0044767C" w:rsidRPr="00ED64C1" w:rsidRDefault="0043271F" w:rsidP="0044767C">
      <w:pPr>
        <w:contextualSpacing/>
        <w:jc w:val="both"/>
        <w:rPr>
          <w:rFonts w:asciiTheme="minorHAnsi" w:hAnsiTheme="minorHAnsi"/>
          <w:i/>
        </w:rPr>
      </w:pPr>
      <w:r>
        <w:rPr>
          <w:rFonts w:asciiTheme="minorHAnsi" w:hAnsiTheme="minorHAnsi"/>
          <w:i/>
        </w:rPr>
        <w:t>Source: EMSI</w:t>
      </w:r>
    </w:p>
    <w:p w:rsidR="0044767C" w:rsidRPr="0044767C" w:rsidRDefault="0044767C" w:rsidP="00ED64C1">
      <w:pPr>
        <w:contextualSpacing/>
        <w:jc w:val="center"/>
        <w:rPr>
          <w:rFonts w:asciiTheme="minorHAnsi" w:hAnsiTheme="minorHAnsi"/>
          <w:b/>
          <w:color w:val="008000"/>
        </w:rPr>
      </w:pPr>
      <w:r w:rsidRPr="0044767C">
        <w:rPr>
          <w:rFonts w:asciiTheme="minorHAnsi" w:hAnsiTheme="minorHAnsi"/>
          <w:b/>
          <w:noProof/>
          <w:color w:val="008000"/>
        </w:rPr>
        <w:lastRenderedPageBreak/>
        <w:drawing>
          <wp:anchor distT="0" distB="0" distL="114300" distR="114300" simplePos="0" relativeHeight="251666432" behindDoc="1" locked="0" layoutInCell="1" allowOverlap="1">
            <wp:simplePos x="0" y="0"/>
            <wp:positionH relativeFrom="column">
              <wp:posOffset>-523875</wp:posOffset>
            </wp:positionH>
            <wp:positionV relativeFrom="paragraph">
              <wp:posOffset>200025</wp:posOffset>
            </wp:positionV>
            <wp:extent cx="6962775" cy="3667125"/>
            <wp:effectExtent l="0" t="0" r="0" b="0"/>
            <wp:wrapTight wrapText="bothSides">
              <wp:wrapPolygon edited="0">
                <wp:start x="2246" y="0"/>
                <wp:lineTo x="1891" y="112"/>
                <wp:lineTo x="1950" y="3703"/>
                <wp:lineTo x="295" y="3815"/>
                <wp:lineTo x="236" y="4376"/>
                <wp:lineTo x="2955" y="5498"/>
                <wp:lineTo x="295" y="5947"/>
                <wp:lineTo x="295" y="6508"/>
                <wp:lineTo x="2955" y="7294"/>
                <wp:lineTo x="355" y="7630"/>
                <wp:lineTo x="295" y="8528"/>
                <wp:lineTo x="1123" y="9089"/>
                <wp:lineTo x="295" y="10323"/>
                <wp:lineTo x="295" y="10772"/>
                <wp:lineTo x="1123" y="10884"/>
                <wp:lineTo x="236" y="12567"/>
                <wp:lineTo x="295" y="12792"/>
                <wp:lineTo x="1064" y="14475"/>
                <wp:lineTo x="295" y="14475"/>
                <wp:lineTo x="295" y="14924"/>
                <wp:lineTo x="1123" y="16270"/>
                <wp:lineTo x="295" y="16495"/>
                <wp:lineTo x="295" y="17056"/>
                <wp:lineTo x="1123" y="18065"/>
                <wp:lineTo x="295" y="18739"/>
                <wp:lineTo x="295" y="19075"/>
                <wp:lineTo x="1123" y="19861"/>
                <wp:lineTo x="1123" y="21432"/>
                <wp:lineTo x="21511" y="21432"/>
                <wp:lineTo x="21511" y="7294"/>
                <wp:lineTo x="6501" y="7294"/>
                <wp:lineTo x="21511" y="5723"/>
                <wp:lineTo x="21511" y="5162"/>
                <wp:lineTo x="10756" y="3703"/>
                <wp:lineTo x="21393" y="3703"/>
                <wp:lineTo x="21393" y="3030"/>
                <wp:lineTo x="10756" y="1908"/>
                <wp:lineTo x="20093" y="1571"/>
                <wp:lineTo x="20152" y="1010"/>
                <wp:lineTo x="15424" y="0"/>
                <wp:lineTo x="2246"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44767C">
        <w:rPr>
          <w:rFonts w:asciiTheme="minorHAnsi" w:hAnsiTheme="minorHAnsi"/>
          <w:b/>
          <w:color w:val="008000"/>
        </w:rPr>
        <w:t>Exhibit 3.XX Regional Population by Race/Ethnicity</w:t>
      </w:r>
    </w:p>
    <w:p w:rsidR="0044767C" w:rsidRPr="0044767C" w:rsidRDefault="0044767C" w:rsidP="0044767C">
      <w:pPr>
        <w:contextualSpacing/>
        <w:jc w:val="both"/>
        <w:rPr>
          <w:rFonts w:asciiTheme="minorHAnsi" w:hAnsiTheme="minorHAnsi"/>
          <w:i/>
        </w:rPr>
      </w:pPr>
      <w:r w:rsidRPr="0044767C">
        <w:rPr>
          <w:rFonts w:asciiTheme="minorHAnsi" w:hAnsiTheme="minorHAnsi"/>
          <w:i/>
        </w:rPr>
        <w:t>Source: EMSI</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Between 2010 and 2015, the service area male population proportion stayed steady at 49.1% of the population. In the same time period, the regional male population proportion increase</w:t>
      </w:r>
      <w:r w:rsidR="0043271F">
        <w:rPr>
          <w:rFonts w:asciiTheme="minorHAnsi" w:hAnsiTheme="minorHAnsi"/>
        </w:rPr>
        <w:t xml:space="preserve">d marginally by 0.1%. </w:t>
      </w:r>
      <w:proofErr w:type="gramStart"/>
      <w:r w:rsidR="0043271F">
        <w:rPr>
          <w:rFonts w:asciiTheme="minorHAnsi" w:hAnsiTheme="minorHAnsi"/>
        </w:rPr>
        <w:t xml:space="preserve">The </w:t>
      </w:r>
      <w:r w:rsidR="00FB6DA3">
        <w:rPr>
          <w:rFonts w:asciiTheme="minorHAnsi" w:hAnsiTheme="minorHAnsi"/>
        </w:rPr>
        <w:t>State-wide</w:t>
      </w:r>
      <w:r w:rsidRPr="0044767C">
        <w:rPr>
          <w:rFonts w:asciiTheme="minorHAnsi" w:hAnsiTheme="minorHAnsi"/>
        </w:rPr>
        <w:t xml:space="preserve"> male population proportion increased by an</w:t>
      </w:r>
      <w:r w:rsidR="0043271F">
        <w:rPr>
          <w:rFonts w:asciiTheme="minorHAnsi" w:hAnsiTheme="minorHAnsi"/>
        </w:rPr>
        <w:t xml:space="preserve"> even smaller amount of 0.01% during</w:t>
      </w:r>
      <w:r w:rsidRPr="0044767C">
        <w:rPr>
          <w:rFonts w:asciiTheme="minorHAnsi" w:hAnsiTheme="minorHAnsi"/>
        </w:rPr>
        <w:t xml:space="preserve"> the same time period.</w:t>
      </w:r>
      <w:proofErr w:type="gramEnd"/>
    </w:p>
    <w:p w:rsidR="0044767C" w:rsidRPr="0044767C" w:rsidRDefault="0044767C" w:rsidP="0044767C">
      <w:pPr>
        <w:contextualSpacing/>
        <w:jc w:val="both"/>
        <w:rPr>
          <w:rFonts w:asciiTheme="minorHAnsi" w:hAnsiTheme="minorHAnsi"/>
        </w:rPr>
      </w:pPr>
    </w:p>
    <w:p w:rsidR="0044767C" w:rsidRPr="00F128EB" w:rsidRDefault="0044767C" w:rsidP="0044767C">
      <w:pPr>
        <w:contextualSpacing/>
        <w:jc w:val="both"/>
        <w:rPr>
          <w:rFonts w:asciiTheme="minorHAnsi" w:hAnsiTheme="minorHAnsi"/>
        </w:rPr>
      </w:pPr>
      <w:r w:rsidRPr="00F128EB">
        <w:rPr>
          <w:rFonts w:asciiTheme="minorHAnsi" w:hAnsiTheme="minorHAnsi"/>
        </w:rPr>
        <w:t xml:space="preserve">Between 2015 and 2025, the service area male population </w:t>
      </w:r>
      <w:r w:rsidR="0043271F" w:rsidRPr="00F128EB">
        <w:rPr>
          <w:rFonts w:asciiTheme="minorHAnsi" w:hAnsiTheme="minorHAnsi"/>
        </w:rPr>
        <w:t>is projected to increase by 5.83% (28,309 persons) and the female population is projected to increase by 5.78% (29,124 persons)</w:t>
      </w:r>
      <w:r w:rsidRPr="00F128EB">
        <w:rPr>
          <w:rFonts w:asciiTheme="minorHAnsi" w:hAnsiTheme="minorHAnsi"/>
        </w:rPr>
        <w:t xml:space="preserve">. </w:t>
      </w:r>
      <w:r w:rsidR="00F128EB" w:rsidRPr="00F128EB">
        <w:rPr>
          <w:rFonts w:asciiTheme="minorHAnsi" w:hAnsiTheme="minorHAnsi"/>
        </w:rPr>
        <w:t xml:space="preserve">The number of males in the region is projected to increase by 5.39% (121,906 persons) and 5.71% for females (130,409 persons). </w:t>
      </w:r>
      <w:r w:rsidR="00BA5FD8" w:rsidRPr="00F128EB">
        <w:rPr>
          <w:rFonts w:asciiTheme="minorHAnsi" w:hAnsiTheme="minorHAnsi"/>
        </w:rPr>
        <w:t xml:space="preserve">The number of males within the </w:t>
      </w:r>
      <w:r w:rsidR="00FB6DA3" w:rsidRPr="00F128EB">
        <w:rPr>
          <w:rFonts w:asciiTheme="minorHAnsi" w:hAnsiTheme="minorHAnsi"/>
        </w:rPr>
        <w:t>State-wide</w:t>
      </w:r>
      <w:r w:rsidR="00BA5FD8" w:rsidRPr="00F128EB">
        <w:rPr>
          <w:rFonts w:asciiTheme="minorHAnsi" w:hAnsiTheme="minorHAnsi"/>
        </w:rPr>
        <w:t xml:space="preserve"> population is projected to increase by 4.8% (931,711 persons) and 5.4% for females (1,055,635 persons) during the same time period.</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p>
    <w:p w:rsidR="0044767C" w:rsidRDefault="0044767C" w:rsidP="0044767C">
      <w:pPr>
        <w:contextualSpacing/>
        <w:jc w:val="both"/>
        <w:rPr>
          <w:rFonts w:asciiTheme="minorHAnsi" w:hAnsiTheme="minorHAnsi"/>
        </w:rPr>
      </w:pPr>
    </w:p>
    <w:p w:rsidR="0043271F" w:rsidRDefault="0043271F" w:rsidP="0044767C">
      <w:pPr>
        <w:contextualSpacing/>
        <w:jc w:val="both"/>
        <w:rPr>
          <w:rFonts w:asciiTheme="minorHAnsi" w:hAnsiTheme="minorHAnsi"/>
        </w:rPr>
      </w:pPr>
    </w:p>
    <w:p w:rsidR="0043271F" w:rsidRDefault="0043271F" w:rsidP="0044767C">
      <w:pPr>
        <w:contextualSpacing/>
        <w:jc w:val="both"/>
        <w:rPr>
          <w:rFonts w:asciiTheme="minorHAnsi" w:hAnsiTheme="minorHAnsi"/>
        </w:rPr>
      </w:pPr>
    </w:p>
    <w:p w:rsidR="00BA5FD8" w:rsidRDefault="00BA5FD8" w:rsidP="0044767C">
      <w:pPr>
        <w:contextualSpacing/>
        <w:jc w:val="both"/>
        <w:rPr>
          <w:rFonts w:asciiTheme="minorHAnsi" w:hAnsiTheme="minorHAnsi"/>
        </w:rPr>
      </w:pPr>
    </w:p>
    <w:p w:rsidR="00BA5FD8" w:rsidRDefault="00BA5FD8" w:rsidP="0044767C">
      <w:pPr>
        <w:contextualSpacing/>
        <w:jc w:val="both"/>
        <w:rPr>
          <w:rFonts w:asciiTheme="minorHAnsi" w:hAnsiTheme="minorHAnsi"/>
        </w:rPr>
      </w:pPr>
    </w:p>
    <w:p w:rsidR="00BA5FD8" w:rsidRPr="0044767C" w:rsidRDefault="00BA5FD8" w:rsidP="0044767C">
      <w:pPr>
        <w:contextualSpacing/>
        <w:jc w:val="both"/>
        <w:rPr>
          <w:rFonts w:asciiTheme="minorHAnsi" w:hAnsiTheme="minorHAnsi"/>
        </w:rPr>
      </w:pPr>
    </w:p>
    <w:p w:rsidR="0044767C" w:rsidRPr="0044767C" w:rsidRDefault="0044767C" w:rsidP="0043271F">
      <w:pPr>
        <w:contextualSpacing/>
        <w:jc w:val="center"/>
        <w:rPr>
          <w:rFonts w:asciiTheme="minorHAnsi" w:hAnsiTheme="minorHAnsi"/>
          <w:b/>
          <w:color w:val="008000"/>
        </w:rPr>
      </w:pPr>
      <w:r w:rsidRPr="0044767C">
        <w:rPr>
          <w:rFonts w:asciiTheme="minorHAnsi" w:hAnsiTheme="minorHAnsi"/>
          <w:b/>
          <w:color w:val="008000"/>
        </w:rPr>
        <w:t>Exhibit 3.XX Service Area Population by Gender</w:t>
      </w:r>
    </w:p>
    <w:p w:rsidR="0044767C" w:rsidRPr="0044767C" w:rsidRDefault="0044767C" w:rsidP="0044767C">
      <w:pPr>
        <w:contextualSpacing/>
        <w:jc w:val="both"/>
        <w:rPr>
          <w:rFonts w:asciiTheme="minorHAnsi" w:hAnsiTheme="minorHAnsi"/>
          <w:b/>
          <w:color w:val="008000"/>
        </w:rPr>
      </w:pPr>
      <w:r w:rsidRPr="00BA5FD8">
        <w:rPr>
          <w:rFonts w:asciiTheme="minorHAnsi" w:hAnsiTheme="minorHAnsi"/>
          <w:b/>
          <w:noProof/>
          <w:color w:val="008000"/>
        </w:rPr>
        <w:drawing>
          <wp:inline distT="0" distB="0" distL="0" distR="0">
            <wp:extent cx="5943600" cy="333565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4767C" w:rsidRPr="0043271F" w:rsidRDefault="00BA5FD8" w:rsidP="0044767C">
      <w:pPr>
        <w:contextualSpacing/>
        <w:jc w:val="both"/>
        <w:rPr>
          <w:rFonts w:asciiTheme="minorHAnsi" w:hAnsiTheme="minorHAnsi"/>
          <w:i/>
          <w:sz w:val="20"/>
          <w:szCs w:val="20"/>
        </w:rPr>
      </w:pPr>
      <w:r>
        <w:rPr>
          <w:rFonts w:asciiTheme="minorHAnsi" w:hAnsiTheme="minorHAnsi"/>
          <w:i/>
          <w:sz w:val="20"/>
          <w:szCs w:val="20"/>
        </w:rPr>
        <w:t>Source: EMSI</w:t>
      </w:r>
    </w:p>
    <w:p w:rsidR="0044767C" w:rsidRPr="0044767C" w:rsidRDefault="0044767C" w:rsidP="0044767C">
      <w:pPr>
        <w:contextualSpacing/>
        <w:jc w:val="both"/>
        <w:rPr>
          <w:rFonts w:asciiTheme="minorHAnsi" w:hAnsiTheme="minorHAnsi"/>
        </w:rPr>
      </w:pPr>
    </w:p>
    <w:p w:rsidR="0044767C" w:rsidRPr="0044767C" w:rsidRDefault="0044767C" w:rsidP="00BA5FD8">
      <w:pPr>
        <w:contextualSpacing/>
        <w:jc w:val="center"/>
        <w:rPr>
          <w:rFonts w:asciiTheme="minorHAnsi" w:hAnsiTheme="minorHAnsi"/>
          <w:b/>
          <w:color w:val="008000"/>
        </w:rPr>
      </w:pPr>
      <w:r w:rsidRPr="0044767C">
        <w:rPr>
          <w:rFonts w:asciiTheme="minorHAnsi" w:hAnsiTheme="minorHAnsi"/>
          <w:b/>
          <w:color w:val="008000"/>
        </w:rPr>
        <w:t>Exhibit 3.XX Regional Population by Gender</w:t>
      </w: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noProof/>
          <w:color w:val="008000"/>
        </w:rPr>
        <w:drawing>
          <wp:inline distT="0" distB="0" distL="0" distR="0">
            <wp:extent cx="5943600" cy="350964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767C" w:rsidRPr="00BA5FD8" w:rsidRDefault="00BA5FD8" w:rsidP="0044767C">
      <w:pPr>
        <w:contextualSpacing/>
        <w:jc w:val="both"/>
        <w:rPr>
          <w:rFonts w:asciiTheme="minorHAnsi" w:hAnsiTheme="minorHAnsi"/>
          <w:i/>
          <w:sz w:val="20"/>
          <w:szCs w:val="20"/>
        </w:rPr>
      </w:pPr>
      <w:r w:rsidRPr="00BA5FD8">
        <w:rPr>
          <w:rFonts w:asciiTheme="minorHAnsi" w:hAnsiTheme="minorHAnsi"/>
          <w:i/>
          <w:sz w:val="20"/>
          <w:szCs w:val="20"/>
        </w:rPr>
        <w:t>Source: EMSI</w:t>
      </w:r>
    </w:p>
    <w:p w:rsidR="0044767C" w:rsidRDefault="0044767C" w:rsidP="0044767C">
      <w:pPr>
        <w:contextualSpacing/>
        <w:jc w:val="both"/>
        <w:rPr>
          <w:rFonts w:asciiTheme="minorHAnsi" w:hAnsiTheme="minorHAnsi"/>
        </w:rPr>
      </w:pPr>
    </w:p>
    <w:p w:rsidR="00BA5FD8" w:rsidRPr="0044767C" w:rsidRDefault="00BA5FD8"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color w:val="008000"/>
        </w:rPr>
        <w:t>Educational Attainment</w:t>
      </w:r>
    </w:p>
    <w:p w:rsidR="0044767C" w:rsidRDefault="0044767C" w:rsidP="0044767C">
      <w:pPr>
        <w:contextualSpacing/>
        <w:jc w:val="both"/>
        <w:rPr>
          <w:rFonts w:asciiTheme="minorHAnsi" w:hAnsiTheme="minorHAnsi"/>
        </w:rPr>
      </w:pPr>
      <w:r w:rsidRPr="0044767C">
        <w:rPr>
          <w:rFonts w:asciiTheme="minorHAnsi" w:hAnsiTheme="minorHAnsi"/>
        </w:rPr>
        <w:t xml:space="preserve">College service area, regional and </w:t>
      </w:r>
      <w:r w:rsidR="00FB6DA3">
        <w:rPr>
          <w:rFonts w:asciiTheme="minorHAnsi" w:hAnsiTheme="minorHAnsi"/>
        </w:rPr>
        <w:t>State</w:t>
      </w:r>
      <w:r w:rsidRPr="0044767C">
        <w:rPr>
          <w:rFonts w:asciiTheme="minorHAnsi" w:hAnsiTheme="minorHAnsi"/>
        </w:rPr>
        <w:t xml:space="preserve"> data regarding educational attainment provide insight into the academic achievement background of the population and the relationship between income and education levels. </w:t>
      </w:r>
    </w:p>
    <w:p w:rsidR="00BA5FD8" w:rsidRPr="0044767C" w:rsidRDefault="00BA5FD8"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The proportion of service area residents age 25 and over with no high school diploma is 23.58% (138,997 persons), which is slightly higher than the regional proportion of 21.83% (581,696 persons). Both the service area and regional proportion of population</w:t>
      </w:r>
      <w:r w:rsidR="000C3E45">
        <w:rPr>
          <w:rFonts w:asciiTheme="minorHAnsi" w:hAnsiTheme="minorHAnsi"/>
        </w:rPr>
        <w:t xml:space="preserve"> with no high school diploma </w:t>
      </w:r>
      <w:r w:rsidR="00D1146B">
        <w:rPr>
          <w:rFonts w:asciiTheme="minorHAnsi" w:hAnsiTheme="minorHAnsi"/>
        </w:rPr>
        <w:t>exceeds</w:t>
      </w:r>
      <w:r w:rsidRPr="0044767C">
        <w:rPr>
          <w:rFonts w:asciiTheme="minorHAnsi" w:hAnsiTheme="minorHAnsi"/>
        </w:rPr>
        <w:t xml:space="preserve"> the </w:t>
      </w:r>
      <w:r w:rsidR="00FB6DA3">
        <w:rPr>
          <w:rFonts w:asciiTheme="minorHAnsi" w:hAnsiTheme="minorHAnsi"/>
        </w:rPr>
        <w:t>State-wide</w:t>
      </w:r>
      <w:r w:rsidRPr="0044767C">
        <w:rPr>
          <w:rFonts w:asciiTheme="minorHAnsi" w:hAnsiTheme="minorHAnsi"/>
        </w:rPr>
        <w:t xml:space="preserve"> proportion of 19.28%.</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The proportion of service area residents age 25 and over with at most a high school diploma or equivalent is 26.25% (154,715 persons), which is slightly higher than the regional proportion of 25.89% (6</w:t>
      </w:r>
      <w:r w:rsidR="00D71EEC">
        <w:rPr>
          <w:rFonts w:asciiTheme="minorHAnsi" w:hAnsiTheme="minorHAnsi"/>
        </w:rPr>
        <w:t>89,898 persons). The proportion</w:t>
      </w:r>
      <w:r w:rsidRPr="0044767C">
        <w:rPr>
          <w:rFonts w:asciiTheme="minorHAnsi" w:hAnsiTheme="minorHAnsi"/>
        </w:rPr>
        <w:t xml:space="preserve"> of population with at most a high school diploma or equivalent in the service area and region </w:t>
      </w:r>
      <w:r w:rsidR="00D1146B">
        <w:rPr>
          <w:rFonts w:asciiTheme="minorHAnsi" w:hAnsiTheme="minorHAnsi"/>
        </w:rPr>
        <w:t>exceeds</w:t>
      </w:r>
      <w:r w:rsidRPr="0044767C">
        <w:rPr>
          <w:rFonts w:asciiTheme="minorHAnsi" w:hAnsiTheme="minorHAnsi"/>
        </w:rPr>
        <w:t xml:space="preserve"> the </w:t>
      </w:r>
      <w:r w:rsidR="00FB6DA3">
        <w:rPr>
          <w:rFonts w:asciiTheme="minorHAnsi" w:hAnsiTheme="minorHAnsi"/>
        </w:rPr>
        <w:t>State</w:t>
      </w:r>
      <w:r w:rsidRPr="0044767C">
        <w:rPr>
          <w:rFonts w:asciiTheme="minorHAnsi" w:hAnsiTheme="minorHAnsi"/>
        </w:rPr>
        <w:t xml:space="preserve">’s proportion of 20.91%. </w:t>
      </w:r>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rPr>
      </w:pPr>
      <w:r w:rsidRPr="0044767C">
        <w:rPr>
          <w:rFonts w:asciiTheme="minorHAnsi" w:hAnsiTheme="minorHAnsi"/>
        </w:rPr>
        <w:t xml:space="preserve">Almost half of the population in the service area (49.84%) and slightly less than half of the regional population (47.72%) age 25 and over do not have any higher education experience. The </w:t>
      </w:r>
      <w:r w:rsidR="00FB6DA3">
        <w:rPr>
          <w:rFonts w:asciiTheme="minorHAnsi" w:hAnsiTheme="minorHAnsi"/>
        </w:rPr>
        <w:t>State-wide</w:t>
      </w:r>
      <w:r w:rsidRPr="0044767C">
        <w:rPr>
          <w:rFonts w:asciiTheme="minorHAnsi" w:hAnsiTheme="minorHAnsi"/>
        </w:rPr>
        <w:t xml:space="preserve"> average population age 25 and over without any higher education experience is 40.18%.</w:t>
      </w:r>
    </w:p>
    <w:p w:rsidR="0044767C" w:rsidRPr="0044767C" w:rsidRDefault="0044767C" w:rsidP="0044767C">
      <w:pPr>
        <w:contextualSpacing/>
        <w:jc w:val="both"/>
        <w:rPr>
          <w:rFonts w:asciiTheme="minorHAnsi" w:hAnsiTheme="minorHAnsi"/>
        </w:rPr>
      </w:pPr>
    </w:p>
    <w:p w:rsidR="0044767C" w:rsidRDefault="0044767C" w:rsidP="0044767C">
      <w:pPr>
        <w:contextualSpacing/>
        <w:jc w:val="both"/>
        <w:rPr>
          <w:rFonts w:asciiTheme="minorHAnsi" w:hAnsiTheme="minorHAnsi"/>
        </w:rPr>
      </w:pPr>
      <w:r w:rsidRPr="0044767C">
        <w:rPr>
          <w:rFonts w:asciiTheme="minorHAnsi" w:hAnsiTheme="minorHAnsi"/>
        </w:rPr>
        <w:t>The largest discrepancy between service area and regional residents age 25 and o</w:t>
      </w:r>
      <w:r w:rsidR="00D1146B">
        <w:rPr>
          <w:rFonts w:asciiTheme="minorHAnsi" w:hAnsiTheme="minorHAnsi"/>
        </w:rPr>
        <w:t>ver with college experience</w:t>
      </w:r>
      <w:r w:rsidRPr="0044767C">
        <w:rPr>
          <w:rFonts w:asciiTheme="minorHAnsi" w:hAnsiTheme="minorHAnsi"/>
        </w:rPr>
        <w:t xml:space="preserve"> compared to </w:t>
      </w:r>
      <w:r w:rsidR="00FB6DA3">
        <w:rPr>
          <w:rFonts w:asciiTheme="minorHAnsi" w:hAnsiTheme="minorHAnsi"/>
        </w:rPr>
        <w:t>State</w:t>
      </w:r>
      <w:r w:rsidRPr="0044767C">
        <w:rPr>
          <w:rFonts w:asciiTheme="minorHAnsi" w:hAnsiTheme="minorHAnsi"/>
        </w:rPr>
        <w:t xml:space="preserve"> levels of educational attainment</w:t>
      </w:r>
      <w:r w:rsidR="00D71EEC">
        <w:rPr>
          <w:rFonts w:asciiTheme="minorHAnsi" w:hAnsiTheme="minorHAnsi"/>
        </w:rPr>
        <w:t>,</w:t>
      </w:r>
      <w:r w:rsidRPr="0044767C">
        <w:rPr>
          <w:rFonts w:asciiTheme="minorHAnsi" w:hAnsiTheme="minorHAnsi"/>
        </w:rPr>
        <w:t xml:space="preserve"> is for those with a Bachelor’s degree. The proportion of the service area population with a BA/BS degree is 11.31%, which is approximately 1.7 times less than that of the </w:t>
      </w:r>
      <w:r w:rsidR="00FB6DA3">
        <w:rPr>
          <w:rFonts w:asciiTheme="minorHAnsi" w:hAnsiTheme="minorHAnsi"/>
        </w:rPr>
        <w:t>State</w:t>
      </w:r>
      <w:r w:rsidRPr="0044767C">
        <w:rPr>
          <w:rFonts w:asciiTheme="minorHAnsi" w:hAnsiTheme="minorHAnsi"/>
        </w:rPr>
        <w:t xml:space="preserve">’s 19.2%. The proportion of the regional population with a BA/BS degree is slightly higher than the service area proportion at 12.51%. Approximately 10.9% of the </w:t>
      </w:r>
      <w:r w:rsidR="00FB6DA3">
        <w:rPr>
          <w:rFonts w:asciiTheme="minorHAnsi" w:hAnsiTheme="minorHAnsi"/>
        </w:rPr>
        <w:t>State</w:t>
      </w:r>
      <w:r w:rsidRPr="0044767C">
        <w:rPr>
          <w:rFonts w:asciiTheme="minorHAnsi" w:hAnsiTheme="minorHAnsi"/>
        </w:rPr>
        <w:t xml:space="preserve"> population has a Graduate or Professional degree, while the service area proportion is 6.9% (6.68% regionally).</w:t>
      </w:r>
    </w:p>
    <w:p w:rsidR="00D71EEC" w:rsidRPr="0044767C" w:rsidRDefault="00D71EEC" w:rsidP="0044767C">
      <w:pPr>
        <w:contextualSpacing/>
        <w:jc w:val="both"/>
        <w:rPr>
          <w:rFonts w:asciiTheme="minorHAnsi" w:hAnsiTheme="minorHAnsi"/>
        </w:rPr>
      </w:pPr>
    </w:p>
    <w:p w:rsidR="0044767C" w:rsidRPr="00D71EEC" w:rsidRDefault="00D71EEC" w:rsidP="00D71EEC">
      <w:pPr>
        <w:contextualSpacing/>
        <w:jc w:val="center"/>
        <w:rPr>
          <w:rFonts w:asciiTheme="minorHAnsi" w:hAnsiTheme="minorHAnsi"/>
          <w:b/>
          <w:color w:val="008000"/>
        </w:rPr>
      </w:pPr>
      <w:r w:rsidRPr="0044767C">
        <w:rPr>
          <w:rFonts w:asciiTheme="minorHAnsi" w:hAnsiTheme="minorHAnsi"/>
          <w:b/>
          <w:color w:val="008000"/>
        </w:rPr>
        <w:t xml:space="preserve">Exhibit 3.XX </w:t>
      </w:r>
      <w:r>
        <w:rPr>
          <w:rFonts w:asciiTheme="minorHAnsi" w:hAnsiTheme="minorHAnsi"/>
          <w:b/>
          <w:color w:val="008000"/>
        </w:rPr>
        <w:t>Educational Attainment (5-Year Estimate)</w:t>
      </w:r>
    </w:p>
    <w:p w:rsidR="0044767C" w:rsidRPr="0044767C" w:rsidRDefault="0044767C" w:rsidP="00D11832">
      <w:pPr>
        <w:contextualSpacing/>
        <w:jc w:val="center"/>
        <w:rPr>
          <w:rFonts w:asciiTheme="minorHAnsi" w:hAnsiTheme="minorHAnsi"/>
        </w:rPr>
      </w:pPr>
      <w:r w:rsidRPr="0044767C">
        <w:rPr>
          <w:rFonts w:asciiTheme="minorHAnsi" w:hAnsiTheme="minorHAnsi"/>
          <w:noProof/>
        </w:rPr>
        <w:drawing>
          <wp:inline distT="0" distB="0" distL="0" distR="0">
            <wp:extent cx="5143500" cy="277177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1832" w:rsidRDefault="00D71EEC" w:rsidP="00D11832">
      <w:pPr>
        <w:contextualSpacing/>
        <w:jc w:val="center"/>
        <w:rPr>
          <w:rFonts w:asciiTheme="minorHAnsi" w:hAnsiTheme="minorHAnsi"/>
          <w:i/>
          <w:sz w:val="20"/>
          <w:szCs w:val="20"/>
        </w:rPr>
      </w:pPr>
      <w:r w:rsidRPr="0044767C">
        <w:rPr>
          <w:rFonts w:asciiTheme="minorHAnsi" w:hAnsiTheme="minorHAnsi"/>
          <w:noProof/>
        </w:rPr>
        <w:lastRenderedPageBreak/>
        <w:drawing>
          <wp:inline distT="0" distB="0" distL="0" distR="0">
            <wp:extent cx="3829050" cy="2457450"/>
            <wp:effectExtent l="38100" t="0" r="38100" b="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D11832" w:rsidRPr="0044767C">
        <w:rPr>
          <w:rFonts w:asciiTheme="minorHAnsi" w:hAnsiTheme="minorHAnsi"/>
          <w:noProof/>
        </w:rPr>
        <w:drawing>
          <wp:inline distT="0" distB="0" distL="0" distR="0">
            <wp:extent cx="5534025" cy="2867025"/>
            <wp:effectExtent l="0" t="0" r="0" b="0"/>
            <wp:docPr id="5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4767C" w:rsidRPr="00D11832" w:rsidRDefault="00D71EEC" w:rsidP="00D11832">
      <w:pPr>
        <w:contextualSpacing/>
        <w:rPr>
          <w:rFonts w:asciiTheme="minorHAnsi" w:hAnsiTheme="minorHAnsi"/>
        </w:rPr>
      </w:pPr>
      <w:r w:rsidRPr="00D71EEC">
        <w:rPr>
          <w:rFonts w:asciiTheme="minorHAnsi" w:hAnsiTheme="minorHAnsi"/>
          <w:i/>
          <w:sz w:val="20"/>
          <w:szCs w:val="20"/>
        </w:rPr>
        <w:t xml:space="preserve">Source: </w:t>
      </w:r>
      <w:r w:rsidR="0044767C" w:rsidRPr="00D71EEC">
        <w:rPr>
          <w:rFonts w:asciiTheme="minorHAnsi" w:hAnsiTheme="minorHAnsi"/>
          <w:i/>
          <w:sz w:val="20"/>
          <w:szCs w:val="20"/>
        </w:rPr>
        <w:t>Census 2010, ACS 5-Year Estimates</w:t>
      </w:r>
    </w:p>
    <w:p w:rsidR="0044767C" w:rsidRPr="0044767C" w:rsidRDefault="0044767C" w:rsidP="0044767C">
      <w:pPr>
        <w:tabs>
          <w:tab w:val="left" w:pos="3090"/>
        </w:tabs>
        <w:contextualSpacing/>
        <w:jc w:val="both"/>
        <w:rPr>
          <w:rFonts w:asciiTheme="minorHAnsi" w:hAnsiTheme="minorHAnsi"/>
        </w:rPr>
      </w:pPr>
    </w:p>
    <w:p w:rsidR="0044767C" w:rsidRPr="0044767C" w:rsidRDefault="0044767C" w:rsidP="0044767C">
      <w:pPr>
        <w:tabs>
          <w:tab w:val="left" w:pos="3090"/>
        </w:tabs>
        <w:contextualSpacing/>
        <w:jc w:val="both"/>
        <w:rPr>
          <w:rFonts w:asciiTheme="minorHAnsi" w:hAnsiTheme="minorHAnsi"/>
        </w:rPr>
      </w:pPr>
      <w:r w:rsidRPr="0044767C">
        <w:rPr>
          <w:rFonts w:asciiTheme="minorHAnsi" w:hAnsiTheme="minorHAnsi"/>
        </w:rPr>
        <w:t xml:space="preserve">The average median income of the population age 25 and over in the service area ($35,687) and region ($33,851) is slightly less than the </w:t>
      </w:r>
      <w:r w:rsidR="00FB6DA3">
        <w:rPr>
          <w:rFonts w:asciiTheme="minorHAnsi" w:hAnsiTheme="minorHAnsi"/>
        </w:rPr>
        <w:t>State</w:t>
      </w:r>
      <w:r w:rsidRPr="0044767C">
        <w:rPr>
          <w:rFonts w:asciiTheme="minorHAnsi" w:hAnsiTheme="minorHAnsi"/>
        </w:rPr>
        <w:t xml:space="preserve"> median of $37,170.</w:t>
      </w:r>
    </w:p>
    <w:p w:rsidR="0044767C" w:rsidRPr="0044767C" w:rsidRDefault="0044767C" w:rsidP="0044767C">
      <w:pPr>
        <w:tabs>
          <w:tab w:val="left" w:pos="3090"/>
        </w:tabs>
        <w:contextualSpacing/>
        <w:jc w:val="both"/>
        <w:rPr>
          <w:rFonts w:asciiTheme="minorHAnsi" w:hAnsiTheme="minorHAnsi"/>
        </w:rPr>
      </w:pPr>
    </w:p>
    <w:p w:rsidR="0044767C" w:rsidRPr="0044767C" w:rsidRDefault="0044767C" w:rsidP="0044767C">
      <w:pPr>
        <w:tabs>
          <w:tab w:val="left" w:pos="3090"/>
        </w:tabs>
        <w:contextualSpacing/>
        <w:jc w:val="both"/>
        <w:rPr>
          <w:rFonts w:asciiTheme="minorHAnsi" w:hAnsiTheme="minorHAnsi"/>
        </w:rPr>
      </w:pPr>
      <w:r w:rsidRPr="0044767C">
        <w:rPr>
          <w:rFonts w:asciiTheme="minorHAnsi" w:hAnsiTheme="minorHAnsi"/>
        </w:rPr>
        <w:t>For service area residents age 25 and over, the average median income of those with at least some college experience or an AA/AS degree increases by $5,807 when compared to the income of those with only a high school diploma or equivalent. Moreover, the average median income for service area residents with a BA/BS degree increases by $14,573 when compared to those with only some college experience or an AA/AS degree, and increases by $20,380 when compared to those with only a high school diploma or equivalent.</w:t>
      </w:r>
    </w:p>
    <w:p w:rsidR="0044767C" w:rsidRPr="0044767C" w:rsidRDefault="0044767C" w:rsidP="0044767C">
      <w:pPr>
        <w:tabs>
          <w:tab w:val="left" w:pos="3090"/>
        </w:tabs>
        <w:contextualSpacing/>
        <w:jc w:val="both"/>
        <w:rPr>
          <w:rFonts w:asciiTheme="minorHAnsi" w:hAnsiTheme="minorHAnsi"/>
        </w:rPr>
      </w:pPr>
    </w:p>
    <w:p w:rsidR="0044767C" w:rsidRDefault="00D13365" w:rsidP="0044767C">
      <w:pPr>
        <w:tabs>
          <w:tab w:val="left" w:pos="3090"/>
        </w:tabs>
        <w:contextualSpacing/>
        <w:jc w:val="both"/>
        <w:rPr>
          <w:rFonts w:asciiTheme="minorHAnsi" w:hAnsiTheme="minorHAnsi"/>
        </w:rPr>
      </w:pPr>
      <w:r>
        <w:rPr>
          <w:rFonts w:asciiTheme="minorHAnsi" w:hAnsiTheme="minorHAnsi"/>
        </w:rPr>
        <w:t xml:space="preserve">Service area and regional residents with a high school diploma/equivalent or less have a median income </w:t>
      </w:r>
      <w:r w:rsidR="008B24BF">
        <w:rPr>
          <w:rFonts w:asciiTheme="minorHAnsi" w:hAnsiTheme="minorHAnsi"/>
        </w:rPr>
        <w:t xml:space="preserve">that is </w:t>
      </w:r>
      <w:r>
        <w:rPr>
          <w:rFonts w:asciiTheme="minorHAnsi" w:hAnsiTheme="minorHAnsi"/>
        </w:rPr>
        <w:t xml:space="preserve">greater than the </w:t>
      </w:r>
      <w:r w:rsidR="00FB6DA3">
        <w:rPr>
          <w:rFonts w:asciiTheme="minorHAnsi" w:hAnsiTheme="minorHAnsi"/>
        </w:rPr>
        <w:t>State-wide</w:t>
      </w:r>
      <w:r w:rsidR="008B24BF">
        <w:rPr>
          <w:rFonts w:asciiTheme="minorHAnsi" w:hAnsiTheme="minorHAnsi"/>
        </w:rPr>
        <w:t xml:space="preserve"> average. Conversely, service area and regional residents with a BA/BS </w:t>
      </w:r>
      <w:r w:rsidR="008B24BF">
        <w:rPr>
          <w:rFonts w:asciiTheme="minorHAnsi" w:hAnsiTheme="minorHAnsi"/>
        </w:rPr>
        <w:lastRenderedPageBreak/>
        <w:t xml:space="preserve">degree or higher have a median income that is less than the </w:t>
      </w:r>
      <w:r w:rsidR="00FB6DA3">
        <w:rPr>
          <w:rFonts w:asciiTheme="minorHAnsi" w:hAnsiTheme="minorHAnsi"/>
        </w:rPr>
        <w:t>State-wide</w:t>
      </w:r>
      <w:r w:rsidR="008B24BF">
        <w:rPr>
          <w:rFonts w:asciiTheme="minorHAnsi" w:hAnsiTheme="minorHAnsi"/>
        </w:rPr>
        <w:t xml:space="preserve"> average.  This dynamic may be correlated to the make-up and availability of blue collar jobs in the area. </w:t>
      </w:r>
    </w:p>
    <w:p w:rsidR="00821B94" w:rsidRPr="0044767C" w:rsidRDefault="00821B94" w:rsidP="0044767C">
      <w:pPr>
        <w:tabs>
          <w:tab w:val="left" w:pos="3090"/>
        </w:tabs>
        <w:contextualSpacing/>
        <w:jc w:val="both"/>
        <w:rPr>
          <w:rFonts w:asciiTheme="minorHAnsi" w:hAnsiTheme="minorHAnsi"/>
        </w:rPr>
      </w:pPr>
    </w:p>
    <w:p w:rsidR="0044767C" w:rsidRPr="0044767C" w:rsidRDefault="0044767C" w:rsidP="00821B94">
      <w:pPr>
        <w:tabs>
          <w:tab w:val="left" w:pos="3090"/>
        </w:tabs>
        <w:contextualSpacing/>
        <w:jc w:val="center"/>
        <w:rPr>
          <w:rFonts w:asciiTheme="minorHAnsi" w:hAnsiTheme="minorHAnsi"/>
          <w:b/>
          <w:color w:val="008000"/>
        </w:rPr>
      </w:pPr>
      <w:r w:rsidRPr="0044767C">
        <w:rPr>
          <w:rFonts w:asciiTheme="minorHAnsi" w:hAnsiTheme="minorHAnsi"/>
          <w:b/>
          <w:color w:val="008000"/>
        </w:rPr>
        <w:t>Exhibit 3.XX Median Income by Educational Attainment</w:t>
      </w:r>
      <w:r w:rsidR="00821B94">
        <w:rPr>
          <w:rFonts w:asciiTheme="minorHAnsi" w:hAnsiTheme="minorHAnsi"/>
          <w:b/>
          <w:color w:val="008000"/>
        </w:rPr>
        <w:t xml:space="preserve"> (5-</w:t>
      </w:r>
      <w:r w:rsidRPr="0044767C">
        <w:rPr>
          <w:rFonts w:asciiTheme="minorHAnsi" w:hAnsiTheme="minorHAnsi"/>
          <w:b/>
          <w:color w:val="008000"/>
        </w:rPr>
        <w:t>Year Estimates)</w:t>
      </w:r>
    </w:p>
    <w:p w:rsidR="0044767C" w:rsidRPr="0044767C" w:rsidRDefault="0044767C" w:rsidP="0044767C">
      <w:pPr>
        <w:tabs>
          <w:tab w:val="left" w:pos="3090"/>
        </w:tabs>
        <w:contextualSpacing/>
        <w:jc w:val="both"/>
        <w:rPr>
          <w:rFonts w:asciiTheme="minorHAnsi" w:hAnsiTheme="minorHAnsi"/>
        </w:rPr>
      </w:pPr>
      <w:r w:rsidRPr="0044767C">
        <w:rPr>
          <w:rFonts w:asciiTheme="minorHAnsi" w:hAnsiTheme="minorHAnsi"/>
          <w:noProof/>
        </w:rPr>
        <w:drawing>
          <wp:inline distT="0" distB="0" distL="0" distR="0">
            <wp:extent cx="6103917" cy="3087584"/>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767C" w:rsidRPr="00821B94" w:rsidRDefault="0044767C" w:rsidP="0044767C">
      <w:pPr>
        <w:tabs>
          <w:tab w:val="left" w:pos="3870"/>
        </w:tabs>
        <w:contextualSpacing/>
        <w:jc w:val="both"/>
        <w:rPr>
          <w:rFonts w:asciiTheme="minorHAnsi" w:hAnsiTheme="minorHAnsi"/>
          <w:sz w:val="20"/>
          <w:szCs w:val="20"/>
        </w:rPr>
      </w:pPr>
      <w:r w:rsidRPr="00821B94">
        <w:rPr>
          <w:rFonts w:asciiTheme="minorHAnsi" w:hAnsiTheme="minorHAnsi"/>
          <w:i/>
          <w:sz w:val="20"/>
          <w:szCs w:val="20"/>
        </w:rPr>
        <w:t>Source: Census 2010, ACS 5-Year Estimates</w:t>
      </w:r>
    </w:p>
    <w:p w:rsidR="0044767C" w:rsidRPr="0044767C" w:rsidRDefault="0044767C" w:rsidP="0044767C">
      <w:pPr>
        <w:tabs>
          <w:tab w:val="left" w:pos="3870"/>
        </w:tabs>
        <w:contextualSpacing/>
        <w:jc w:val="both"/>
        <w:rPr>
          <w:rFonts w:asciiTheme="minorHAnsi" w:hAnsiTheme="minorHAnsi"/>
        </w:rPr>
      </w:pPr>
    </w:p>
    <w:p w:rsidR="0044767C" w:rsidRPr="0044767C" w:rsidRDefault="0044767C" w:rsidP="0044767C">
      <w:pPr>
        <w:tabs>
          <w:tab w:val="left" w:pos="3870"/>
        </w:tabs>
        <w:contextualSpacing/>
        <w:jc w:val="both"/>
        <w:rPr>
          <w:rFonts w:asciiTheme="minorHAnsi" w:hAnsiTheme="minorHAnsi"/>
          <w:b/>
          <w:color w:val="008000"/>
        </w:rPr>
      </w:pPr>
      <w:r w:rsidRPr="0044767C">
        <w:rPr>
          <w:rFonts w:asciiTheme="minorHAnsi" w:hAnsiTheme="minorHAnsi"/>
          <w:b/>
          <w:color w:val="008000"/>
        </w:rPr>
        <w:t>Household Size, Income &amp; Poverty</w:t>
      </w:r>
    </w:p>
    <w:p w:rsidR="0044767C" w:rsidRPr="0044767C" w:rsidRDefault="0044767C" w:rsidP="0044767C">
      <w:pPr>
        <w:tabs>
          <w:tab w:val="left" w:pos="3870"/>
        </w:tabs>
        <w:contextualSpacing/>
        <w:jc w:val="both"/>
        <w:rPr>
          <w:rFonts w:asciiTheme="minorHAnsi" w:hAnsiTheme="minorHAnsi"/>
        </w:rPr>
      </w:pPr>
      <w:r w:rsidRPr="0044767C">
        <w:rPr>
          <w:rFonts w:asciiTheme="minorHAnsi" w:hAnsiTheme="minorHAnsi"/>
        </w:rPr>
        <w:t xml:space="preserve">The service area average household size (2.96 persons) is fractionally higher than that of the region (2.92 persons). Both the service area and regional average household size are greater than the </w:t>
      </w:r>
      <w:r w:rsidR="00FB6DA3">
        <w:rPr>
          <w:rFonts w:asciiTheme="minorHAnsi" w:hAnsiTheme="minorHAnsi"/>
        </w:rPr>
        <w:t>State</w:t>
      </w:r>
      <w:r w:rsidRPr="0044767C">
        <w:rPr>
          <w:rFonts w:asciiTheme="minorHAnsi" w:hAnsiTheme="minorHAnsi"/>
        </w:rPr>
        <w:t xml:space="preserve">’s average of 2.76 persons. Median household income within the service area </w:t>
      </w:r>
      <w:r w:rsidR="00D83FC6">
        <w:rPr>
          <w:rFonts w:asciiTheme="minorHAnsi" w:hAnsiTheme="minorHAnsi"/>
        </w:rPr>
        <w:t>is $1,286.68 less</w:t>
      </w:r>
      <w:r w:rsidRPr="0044767C">
        <w:rPr>
          <w:rFonts w:asciiTheme="minorHAnsi" w:hAnsiTheme="minorHAnsi"/>
        </w:rPr>
        <w:t xml:space="preserve"> than in the region </w:t>
      </w:r>
      <w:r w:rsidR="00D83FC6">
        <w:rPr>
          <w:rFonts w:asciiTheme="minorHAnsi" w:hAnsiTheme="minorHAnsi"/>
        </w:rPr>
        <w:t xml:space="preserve">and </w:t>
      </w:r>
      <w:r w:rsidRPr="0044767C">
        <w:rPr>
          <w:rFonts w:asciiTheme="minorHAnsi" w:hAnsiTheme="minorHAnsi"/>
        </w:rPr>
        <w:t xml:space="preserve">$7,429.68 less than the </w:t>
      </w:r>
      <w:r w:rsidR="00FB6DA3">
        <w:rPr>
          <w:rFonts w:asciiTheme="minorHAnsi" w:hAnsiTheme="minorHAnsi"/>
        </w:rPr>
        <w:t>State-wide</w:t>
      </w:r>
      <w:r w:rsidRPr="0044767C">
        <w:rPr>
          <w:rFonts w:asciiTheme="minorHAnsi" w:hAnsiTheme="minorHAnsi"/>
        </w:rPr>
        <w:t xml:space="preserve"> median</w:t>
      </w:r>
      <w:r w:rsidR="00D83FC6">
        <w:rPr>
          <w:rFonts w:asciiTheme="minorHAnsi" w:hAnsiTheme="minorHAnsi"/>
        </w:rPr>
        <w:t xml:space="preserve"> household income</w:t>
      </w:r>
      <w:r w:rsidRPr="0044767C">
        <w:rPr>
          <w:rFonts w:asciiTheme="minorHAnsi" w:hAnsiTheme="minorHAnsi"/>
        </w:rPr>
        <w:t>. Average per capita income in the service area is $3 more than in the region</w:t>
      </w:r>
      <w:r w:rsidR="00D83FC6">
        <w:rPr>
          <w:rFonts w:asciiTheme="minorHAnsi" w:hAnsiTheme="minorHAnsi"/>
        </w:rPr>
        <w:t xml:space="preserve"> and </w:t>
      </w:r>
      <w:r w:rsidRPr="0044767C">
        <w:rPr>
          <w:rFonts w:asciiTheme="minorHAnsi" w:hAnsiTheme="minorHAnsi"/>
        </w:rPr>
        <w:t>$7</w:t>
      </w:r>
      <w:r w:rsidR="00D83FC6">
        <w:rPr>
          <w:rFonts w:asciiTheme="minorHAnsi" w:hAnsiTheme="minorHAnsi"/>
        </w:rPr>
        <w:t xml:space="preserve">,381 less than the </w:t>
      </w:r>
      <w:r w:rsidR="00FB6DA3">
        <w:rPr>
          <w:rFonts w:asciiTheme="minorHAnsi" w:hAnsiTheme="minorHAnsi"/>
        </w:rPr>
        <w:t>State-wide</w:t>
      </w:r>
      <w:r w:rsidR="00D83FC6">
        <w:rPr>
          <w:rFonts w:asciiTheme="minorHAnsi" w:hAnsiTheme="minorHAnsi"/>
        </w:rPr>
        <w:t xml:space="preserve"> per capita income</w:t>
      </w:r>
      <w:r w:rsidRPr="0044767C">
        <w:rPr>
          <w:rFonts w:asciiTheme="minorHAnsi" w:hAnsiTheme="minorHAnsi"/>
        </w:rPr>
        <w:t>.</w:t>
      </w:r>
    </w:p>
    <w:p w:rsidR="0044767C" w:rsidRPr="0044767C" w:rsidRDefault="0044767C" w:rsidP="0044767C">
      <w:pPr>
        <w:tabs>
          <w:tab w:val="left" w:pos="3870"/>
        </w:tabs>
        <w:contextualSpacing/>
        <w:jc w:val="both"/>
        <w:rPr>
          <w:rFonts w:asciiTheme="minorHAnsi" w:hAnsiTheme="minorHAnsi"/>
        </w:rPr>
      </w:pPr>
    </w:p>
    <w:p w:rsidR="0044767C" w:rsidRDefault="0044767C" w:rsidP="0044767C">
      <w:pPr>
        <w:tabs>
          <w:tab w:val="left" w:pos="3870"/>
        </w:tabs>
        <w:contextualSpacing/>
        <w:jc w:val="both"/>
        <w:rPr>
          <w:rFonts w:asciiTheme="minorHAnsi" w:hAnsiTheme="minorHAnsi"/>
        </w:rPr>
      </w:pPr>
      <w:r w:rsidRPr="0044767C">
        <w:rPr>
          <w:rFonts w:asciiTheme="minorHAnsi" w:hAnsiTheme="minorHAnsi"/>
        </w:rPr>
        <w:t xml:space="preserve">The poverty rate of families within the service area (15.27%) is 1.08 times greater than within the region (14.14%). However, both the service area and regional poverty rate of families are greater </w:t>
      </w:r>
      <w:r w:rsidR="008B24BF">
        <w:rPr>
          <w:rFonts w:asciiTheme="minorHAnsi" w:hAnsiTheme="minorHAnsi"/>
        </w:rPr>
        <w:t xml:space="preserve">than the </w:t>
      </w:r>
      <w:r w:rsidR="00FB6DA3">
        <w:rPr>
          <w:rFonts w:asciiTheme="minorHAnsi" w:hAnsiTheme="minorHAnsi"/>
        </w:rPr>
        <w:t>State</w:t>
      </w:r>
      <w:r w:rsidR="008B24BF">
        <w:rPr>
          <w:rFonts w:asciiTheme="minorHAnsi" w:hAnsiTheme="minorHAnsi"/>
        </w:rPr>
        <w:t>’s rate of 12.3%.</w:t>
      </w:r>
    </w:p>
    <w:p w:rsidR="008B24BF" w:rsidRPr="0044767C" w:rsidRDefault="008B24BF" w:rsidP="0044767C">
      <w:pPr>
        <w:tabs>
          <w:tab w:val="left" w:pos="3870"/>
        </w:tabs>
        <w:contextualSpacing/>
        <w:jc w:val="both"/>
        <w:rPr>
          <w:rFonts w:asciiTheme="minorHAnsi" w:hAnsiTheme="minorHAnsi"/>
        </w:rPr>
      </w:pPr>
    </w:p>
    <w:p w:rsidR="0044767C" w:rsidRPr="0044767C" w:rsidRDefault="0044767C" w:rsidP="00D83FC6">
      <w:pPr>
        <w:tabs>
          <w:tab w:val="left" w:pos="3870"/>
        </w:tabs>
        <w:contextualSpacing/>
        <w:jc w:val="center"/>
        <w:rPr>
          <w:rFonts w:asciiTheme="minorHAnsi" w:hAnsiTheme="minorHAnsi"/>
          <w:b/>
          <w:color w:val="008000"/>
        </w:rPr>
      </w:pPr>
      <w:r w:rsidRPr="0044767C">
        <w:rPr>
          <w:rFonts w:asciiTheme="minorHAnsi" w:hAnsiTheme="minorHAnsi"/>
          <w:b/>
          <w:color w:val="008000"/>
        </w:rPr>
        <w:t>Exhibit 3.XX H</w:t>
      </w:r>
      <w:r w:rsidR="00D83FC6">
        <w:rPr>
          <w:rFonts w:asciiTheme="minorHAnsi" w:hAnsiTheme="minorHAnsi"/>
          <w:b/>
          <w:color w:val="008000"/>
        </w:rPr>
        <w:t>ousehold Size, Income &amp; Poverty (</w:t>
      </w:r>
      <w:r w:rsidRPr="0044767C">
        <w:rPr>
          <w:rFonts w:asciiTheme="minorHAnsi" w:hAnsiTheme="minorHAnsi"/>
          <w:b/>
          <w:color w:val="008000"/>
        </w:rPr>
        <w:t>5-Year Estimate)</w:t>
      </w:r>
    </w:p>
    <w:tbl>
      <w:tblPr>
        <w:tblW w:w="9540" w:type="dxa"/>
        <w:jc w:val="center"/>
        <w:tblInd w:w="93" w:type="dxa"/>
        <w:tblLook w:val="04A0" w:firstRow="1" w:lastRow="0" w:firstColumn="1" w:lastColumn="0" w:noHBand="0" w:noVBand="1"/>
      </w:tblPr>
      <w:tblGrid>
        <w:gridCol w:w="1620"/>
        <w:gridCol w:w="1660"/>
        <w:gridCol w:w="2120"/>
        <w:gridCol w:w="1800"/>
        <w:gridCol w:w="2340"/>
      </w:tblGrid>
      <w:tr w:rsidR="0044767C" w:rsidRPr="0044767C" w:rsidTr="0032023F">
        <w:trPr>
          <w:trHeight w:val="300"/>
          <w:jc w:val="center"/>
        </w:trPr>
        <w:tc>
          <w:tcPr>
            <w:tcW w:w="1620" w:type="dxa"/>
            <w:shd w:val="clear" w:color="auto" w:fill="525252" w:themeFill="accent3" w:themeFillShade="80"/>
            <w:noWrap/>
            <w:vAlign w:val="bottom"/>
            <w:hideMark/>
          </w:tcPr>
          <w:p w:rsidR="0044767C" w:rsidRPr="0044767C" w:rsidRDefault="0044767C" w:rsidP="008B24BF">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Area</w:t>
            </w:r>
          </w:p>
        </w:tc>
        <w:tc>
          <w:tcPr>
            <w:tcW w:w="1660" w:type="dxa"/>
            <w:shd w:val="clear" w:color="auto" w:fill="525252" w:themeFill="accent3" w:themeFillShade="80"/>
            <w:noWrap/>
            <w:vAlign w:val="bottom"/>
            <w:hideMark/>
          </w:tcPr>
          <w:p w:rsidR="0044767C" w:rsidRPr="0044767C" w:rsidRDefault="0044767C" w:rsidP="008B24BF">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Avg. Household Size</w:t>
            </w:r>
          </w:p>
        </w:tc>
        <w:tc>
          <w:tcPr>
            <w:tcW w:w="2120" w:type="dxa"/>
            <w:shd w:val="clear" w:color="auto" w:fill="525252" w:themeFill="accent3" w:themeFillShade="80"/>
            <w:noWrap/>
            <w:vAlign w:val="bottom"/>
            <w:hideMark/>
          </w:tcPr>
          <w:p w:rsidR="0044767C" w:rsidRPr="0044767C" w:rsidRDefault="0044767C" w:rsidP="008B24BF">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Median Household Income</w:t>
            </w:r>
          </w:p>
        </w:tc>
        <w:tc>
          <w:tcPr>
            <w:tcW w:w="1800" w:type="dxa"/>
            <w:shd w:val="clear" w:color="auto" w:fill="525252" w:themeFill="accent3" w:themeFillShade="80"/>
            <w:noWrap/>
            <w:vAlign w:val="bottom"/>
            <w:hideMark/>
          </w:tcPr>
          <w:p w:rsidR="0044767C" w:rsidRPr="0044767C" w:rsidRDefault="0044767C" w:rsidP="008B24BF">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Per Capita Income</w:t>
            </w:r>
          </w:p>
        </w:tc>
        <w:tc>
          <w:tcPr>
            <w:tcW w:w="2340" w:type="dxa"/>
            <w:shd w:val="clear" w:color="auto" w:fill="525252" w:themeFill="accent3" w:themeFillShade="80"/>
            <w:noWrap/>
            <w:vAlign w:val="bottom"/>
            <w:hideMark/>
          </w:tcPr>
          <w:p w:rsidR="0044767C" w:rsidRPr="0044767C" w:rsidRDefault="0044767C" w:rsidP="008B24BF">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Families Below Poverty (%)</w:t>
            </w:r>
          </w:p>
        </w:tc>
      </w:tr>
      <w:tr w:rsidR="0044767C" w:rsidRPr="0044767C" w:rsidTr="0032023F">
        <w:trPr>
          <w:trHeight w:val="300"/>
          <w:jc w:val="center"/>
        </w:trPr>
        <w:tc>
          <w:tcPr>
            <w:tcW w:w="1620" w:type="dxa"/>
            <w:shd w:val="clear" w:color="auto" w:fill="DBDBDB" w:themeFill="accent3" w:themeFillTint="66"/>
            <w:noWrap/>
            <w:vAlign w:val="bottom"/>
            <w:hideMark/>
          </w:tcPr>
          <w:p w:rsidR="0044767C" w:rsidRPr="0044767C" w:rsidRDefault="0044767C" w:rsidP="008B24BF">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Service Area</w:t>
            </w:r>
          </w:p>
        </w:tc>
        <w:tc>
          <w:tcPr>
            <w:tcW w:w="166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2.96</w:t>
            </w:r>
          </w:p>
        </w:tc>
        <w:tc>
          <w:tcPr>
            <w:tcW w:w="212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$54,059.32</w:t>
            </w:r>
          </w:p>
        </w:tc>
        <w:tc>
          <w:tcPr>
            <w:tcW w:w="180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$22,525.00</w:t>
            </w:r>
          </w:p>
        </w:tc>
        <w:tc>
          <w:tcPr>
            <w:tcW w:w="234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15.27%</w:t>
            </w:r>
          </w:p>
        </w:tc>
      </w:tr>
      <w:tr w:rsidR="0044767C" w:rsidRPr="0044767C" w:rsidTr="0032023F">
        <w:trPr>
          <w:trHeight w:val="300"/>
          <w:jc w:val="center"/>
        </w:trPr>
        <w:tc>
          <w:tcPr>
            <w:tcW w:w="1620" w:type="dxa"/>
            <w:shd w:val="clear" w:color="auto" w:fill="auto"/>
            <w:noWrap/>
            <w:vAlign w:val="bottom"/>
            <w:hideMark/>
          </w:tcPr>
          <w:p w:rsidR="0044767C" w:rsidRPr="0044767C" w:rsidRDefault="0044767C" w:rsidP="008B24BF">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Region</w:t>
            </w:r>
          </w:p>
        </w:tc>
        <w:tc>
          <w:tcPr>
            <w:tcW w:w="1660" w:type="dxa"/>
            <w:shd w:val="clear" w:color="auto" w:fill="auto"/>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2.92</w:t>
            </w:r>
          </w:p>
        </w:tc>
        <w:tc>
          <w:tcPr>
            <w:tcW w:w="2120" w:type="dxa"/>
            <w:shd w:val="clear" w:color="auto" w:fill="auto"/>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$55,346.00</w:t>
            </w:r>
          </w:p>
        </w:tc>
        <w:tc>
          <w:tcPr>
            <w:tcW w:w="1800" w:type="dxa"/>
            <w:shd w:val="clear" w:color="auto" w:fill="auto"/>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$22,522.00</w:t>
            </w:r>
          </w:p>
        </w:tc>
        <w:tc>
          <w:tcPr>
            <w:tcW w:w="2340" w:type="dxa"/>
            <w:shd w:val="clear" w:color="auto" w:fill="auto"/>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14.10%</w:t>
            </w:r>
          </w:p>
        </w:tc>
      </w:tr>
      <w:tr w:rsidR="0044767C" w:rsidRPr="0044767C" w:rsidTr="0032023F">
        <w:trPr>
          <w:trHeight w:val="300"/>
          <w:jc w:val="center"/>
        </w:trPr>
        <w:tc>
          <w:tcPr>
            <w:tcW w:w="1620" w:type="dxa"/>
            <w:shd w:val="clear" w:color="auto" w:fill="DBDBDB" w:themeFill="accent3" w:themeFillTint="66"/>
            <w:noWrap/>
            <w:vAlign w:val="bottom"/>
            <w:hideMark/>
          </w:tcPr>
          <w:p w:rsidR="0044767C" w:rsidRPr="0044767C" w:rsidRDefault="0044767C" w:rsidP="008B24BF">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California</w:t>
            </w:r>
          </w:p>
        </w:tc>
        <w:tc>
          <w:tcPr>
            <w:tcW w:w="166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2.76</w:t>
            </w:r>
          </w:p>
        </w:tc>
        <w:tc>
          <w:tcPr>
            <w:tcW w:w="212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$61,489.00</w:t>
            </w:r>
          </w:p>
        </w:tc>
        <w:tc>
          <w:tcPr>
            <w:tcW w:w="180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$29,906.00</w:t>
            </w:r>
          </w:p>
        </w:tc>
        <w:tc>
          <w:tcPr>
            <w:tcW w:w="2340" w:type="dxa"/>
            <w:shd w:val="clear" w:color="auto" w:fill="DBDBDB" w:themeFill="accent3" w:themeFillTint="66"/>
            <w:noWrap/>
            <w:vAlign w:val="bottom"/>
            <w:hideMark/>
          </w:tcPr>
          <w:p w:rsidR="0044767C" w:rsidRPr="0044767C" w:rsidRDefault="0044767C" w:rsidP="008B24BF">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12.30%</w:t>
            </w:r>
          </w:p>
        </w:tc>
      </w:tr>
    </w:tbl>
    <w:p w:rsidR="0044767C" w:rsidRPr="008B24BF" w:rsidRDefault="0044767C" w:rsidP="0044767C">
      <w:pPr>
        <w:tabs>
          <w:tab w:val="left" w:pos="3870"/>
        </w:tabs>
        <w:contextualSpacing/>
        <w:jc w:val="both"/>
        <w:rPr>
          <w:rFonts w:asciiTheme="minorHAnsi" w:hAnsiTheme="minorHAnsi"/>
          <w:sz w:val="20"/>
          <w:szCs w:val="20"/>
        </w:rPr>
      </w:pPr>
      <w:r w:rsidRPr="008B24BF">
        <w:rPr>
          <w:rFonts w:asciiTheme="minorHAnsi" w:hAnsiTheme="minorHAnsi"/>
          <w:i/>
          <w:sz w:val="20"/>
          <w:szCs w:val="20"/>
        </w:rPr>
        <w:t>Source: Census 2010, ACS 5-Year Estimates</w:t>
      </w:r>
    </w:p>
    <w:p w:rsidR="0044767C" w:rsidRPr="0044767C" w:rsidRDefault="0044767C" w:rsidP="0044767C">
      <w:pPr>
        <w:tabs>
          <w:tab w:val="left" w:pos="3870"/>
        </w:tabs>
        <w:contextualSpacing/>
        <w:jc w:val="both"/>
        <w:rPr>
          <w:rFonts w:asciiTheme="minorHAnsi" w:hAnsiTheme="minorHAnsi"/>
        </w:rPr>
      </w:pPr>
    </w:p>
    <w:p w:rsidR="00D83FC6" w:rsidRDefault="00D83FC6" w:rsidP="0044767C">
      <w:pPr>
        <w:tabs>
          <w:tab w:val="left" w:pos="3870"/>
        </w:tabs>
        <w:contextualSpacing/>
        <w:jc w:val="both"/>
        <w:rPr>
          <w:rFonts w:asciiTheme="minorHAnsi" w:hAnsiTheme="minorHAnsi"/>
          <w:b/>
          <w:color w:val="008000"/>
        </w:rPr>
      </w:pPr>
    </w:p>
    <w:p w:rsidR="00D1146B" w:rsidRDefault="00D1146B" w:rsidP="0044767C">
      <w:pPr>
        <w:tabs>
          <w:tab w:val="left" w:pos="3870"/>
        </w:tabs>
        <w:contextualSpacing/>
        <w:jc w:val="both"/>
        <w:rPr>
          <w:rFonts w:asciiTheme="minorHAnsi" w:hAnsiTheme="minorHAnsi"/>
          <w:b/>
          <w:color w:val="008000"/>
        </w:rPr>
      </w:pPr>
    </w:p>
    <w:p w:rsidR="00D1146B" w:rsidRDefault="00D1146B" w:rsidP="0044767C">
      <w:pPr>
        <w:tabs>
          <w:tab w:val="left" w:pos="3870"/>
        </w:tabs>
        <w:contextualSpacing/>
        <w:jc w:val="both"/>
        <w:rPr>
          <w:rFonts w:asciiTheme="minorHAnsi" w:hAnsiTheme="minorHAnsi"/>
          <w:b/>
          <w:color w:val="008000"/>
        </w:rPr>
      </w:pPr>
    </w:p>
    <w:p w:rsidR="0044767C" w:rsidRPr="0044767C" w:rsidRDefault="00A17263" w:rsidP="0044767C">
      <w:pPr>
        <w:tabs>
          <w:tab w:val="left" w:pos="3870"/>
        </w:tabs>
        <w:contextualSpacing/>
        <w:jc w:val="both"/>
        <w:rPr>
          <w:rFonts w:asciiTheme="minorHAnsi" w:hAnsiTheme="minorHAnsi"/>
          <w:b/>
          <w:color w:val="008000"/>
        </w:rPr>
      </w:pPr>
      <w:r>
        <w:rPr>
          <w:rFonts w:asciiTheme="minorHAnsi" w:hAnsiTheme="minorHAnsi"/>
          <w:b/>
          <w:color w:val="008000"/>
        </w:rPr>
        <w:lastRenderedPageBreak/>
        <w:t>Feeder High School Student Proficiency</w:t>
      </w:r>
    </w:p>
    <w:p w:rsidR="0044767C" w:rsidRPr="0044767C" w:rsidRDefault="00A17263" w:rsidP="0044767C">
      <w:pPr>
        <w:tabs>
          <w:tab w:val="left" w:pos="3870"/>
        </w:tabs>
        <w:contextualSpacing/>
        <w:jc w:val="both"/>
        <w:rPr>
          <w:rFonts w:asciiTheme="minorHAnsi" w:hAnsiTheme="minorHAnsi"/>
        </w:rPr>
      </w:pPr>
      <w:r w:rsidRPr="0044767C">
        <w:rPr>
          <w:rFonts w:asciiTheme="minorHAnsi" w:hAnsiTheme="minorHAnsi"/>
        </w:rPr>
        <w:t>Student proficiency is measured with the California Assessment of Student Performance an</w:t>
      </w:r>
      <w:r>
        <w:rPr>
          <w:rFonts w:asciiTheme="minorHAnsi" w:hAnsiTheme="minorHAnsi"/>
        </w:rPr>
        <w:t xml:space="preserve">d Progress (CAASPP) test </w:t>
      </w:r>
      <w:r w:rsidRPr="0044767C">
        <w:rPr>
          <w:rFonts w:asciiTheme="minorHAnsi" w:hAnsiTheme="minorHAnsi"/>
        </w:rPr>
        <w:t>administered to students in the 11</w:t>
      </w:r>
      <w:r w:rsidRPr="0044767C">
        <w:rPr>
          <w:rFonts w:asciiTheme="minorHAnsi" w:hAnsiTheme="minorHAnsi"/>
          <w:vertAlign w:val="superscript"/>
        </w:rPr>
        <w:t>th</w:t>
      </w:r>
      <w:r w:rsidRPr="0044767C">
        <w:rPr>
          <w:rFonts w:asciiTheme="minorHAnsi" w:hAnsiTheme="minorHAnsi"/>
        </w:rPr>
        <w:t xml:space="preserve"> grade.</w:t>
      </w:r>
      <w:r>
        <w:rPr>
          <w:rFonts w:asciiTheme="minorHAnsi" w:hAnsiTheme="minorHAnsi"/>
        </w:rPr>
        <w:t xml:space="preserve"> </w:t>
      </w:r>
      <w:r w:rsidR="0044767C" w:rsidRPr="0044767C">
        <w:rPr>
          <w:rFonts w:asciiTheme="minorHAnsi" w:hAnsiTheme="minorHAnsi"/>
        </w:rPr>
        <w:t xml:space="preserve">In the 2014-15 academic </w:t>
      </w:r>
      <w:proofErr w:type="gramStart"/>
      <w:r w:rsidR="0044767C" w:rsidRPr="0044767C">
        <w:rPr>
          <w:rFonts w:asciiTheme="minorHAnsi" w:hAnsiTheme="minorHAnsi"/>
        </w:rPr>
        <w:t>year</w:t>
      </w:r>
      <w:proofErr w:type="gramEnd"/>
      <w:r w:rsidR="0044767C" w:rsidRPr="0044767C">
        <w:rPr>
          <w:rFonts w:asciiTheme="minorHAnsi" w:hAnsiTheme="minorHAnsi"/>
        </w:rPr>
        <w:t xml:space="preserve">, Redlands Senior High produced the </w:t>
      </w:r>
      <w:r w:rsidR="001A53E5">
        <w:rPr>
          <w:rFonts w:asciiTheme="minorHAnsi" w:hAnsiTheme="minorHAnsi"/>
        </w:rPr>
        <w:t>greatest percentage of</w:t>
      </w:r>
      <w:r w:rsidR="0044767C" w:rsidRPr="0044767C">
        <w:rPr>
          <w:rFonts w:asciiTheme="minorHAnsi" w:hAnsiTheme="minorHAnsi"/>
        </w:rPr>
        <w:t xml:space="preserve"> proficient students, with 77%</w:t>
      </w:r>
      <w:r w:rsidR="00464663">
        <w:rPr>
          <w:rFonts w:asciiTheme="minorHAnsi" w:hAnsiTheme="minorHAnsi"/>
        </w:rPr>
        <w:t xml:space="preserve"> of students</w:t>
      </w:r>
      <w:r w:rsidR="0044767C" w:rsidRPr="0044767C">
        <w:rPr>
          <w:rFonts w:asciiTheme="minorHAnsi" w:hAnsiTheme="minorHAnsi"/>
        </w:rPr>
        <w:t xml:space="preserve"> having either met or exceeded the CAASPP standards for English and 45% </w:t>
      </w:r>
      <w:r w:rsidR="00464663">
        <w:rPr>
          <w:rFonts w:asciiTheme="minorHAnsi" w:hAnsiTheme="minorHAnsi"/>
        </w:rPr>
        <w:t xml:space="preserve">of students </w:t>
      </w:r>
      <w:r w:rsidR="0044767C" w:rsidRPr="0044767C">
        <w:rPr>
          <w:rFonts w:asciiTheme="minorHAnsi" w:hAnsiTheme="minorHAnsi"/>
        </w:rPr>
        <w:t>having either met or exceeded the CAASPP standards for math. Citrus Valley High</w:t>
      </w:r>
      <w:r w:rsidR="001A53E5">
        <w:rPr>
          <w:rFonts w:asciiTheme="minorHAnsi" w:hAnsiTheme="minorHAnsi"/>
        </w:rPr>
        <w:t xml:space="preserve"> produced the second largest percentage of proficient students</w:t>
      </w:r>
      <w:r w:rsidR="0044767C" w:rsidRPr="0044767C">
        <w:rPr>
          <w:rFonts w:asciiTheme="minorHAnsi" w:hAnsiTheme="minorHAnsi"/>
        </w:rPr>
        <w:t xml:space="preserve">, with 69% and 37% of students having met or exceeded the standards for English and math, respectively. The least proficient </w:t>
      </w:r>
      <w:r w:rsidR="001A53E5">
        <w:rPr>
          <w:rFonts w:asciiTheme="minorHAnsi" w:hAnsiTheme="minorHAnsi"/>
        </w:rPr>
        <w:t xml:space="preserve">feeder </w:t>
      </w:r>
      <w:r w:rsidR="0044767C" w:rsidRPr="0044767C">
        <w:rPr>
          <w:rFonts w:asciiTheme="minorHAnsi" w:hAnsiTheme="minorHAnsi"/>
        </w:rPr>
        <w:t>high school was Orangewood High Continuation, with 12% and 1% of students having either met or exceeded the standards for English and math, respectively.</w:t>
      </w:r>
    </w:p>
    <w:p w:rsidR="0044767C" w:rsidRPr="0044767C" w:rsidRDefault="0044767C" w:rsidP="0044767C">
      <w:pPr>
        <w:tabs>
          <w:tab w:val="left" w:pos="3870"/>
        </w:tabs>
        <w:contextualSpacing/>
        <w:jc w:val="both"/>
        <w:rPr>
          <w:rFonts w:asciiTheme="minorHAnsi" w:hAnsiTheme="minorHAnsi"/>
        </w:rPr>
      </w:pPr>
    </w:p>
    <w:p w:rsidR="0044767C" w:rsidRDefault="0044767C" w:rsidP="0044767C">
      <w:pPr>
        <w:tabs>
          <w:tab w:val="left" w:pos="3870"/>
        </w:tabs>
        <w:contextualSpacing/>
        <w:jc w:val="both"/>
        <w:rPr>
          <w:rFonts w:asciiTheme="minorHAnsi" w:hAnsiTheme="minorHAnsi"/>
        </w:rPr>
      </w:pPr>
      <w:r w:rsidRPr="0044767C">
        <w:rPr>
          <w:rFonts w:asciiTheme="minorHAnsi" w:hAnsiTheme="minorHAnsi"/>
        </w:rPr>
        <w:t xml:space="preserve">In the 2014-15 academic </w:t>
      </w:r>
      <w:proofErr w:type="gramStart"/>
      <w:r w:rsidRPr="0044767C">
        <w:rPr>
          <w:rFonts w:asciiTheme="minorHAnsi" w:hAnsiTheme="minorHAnsi"/>
        </w:rPr>
        <w:t>year</w:t>
      </w:r>
      <w:proofErr w:type="gramEnd"/>
      <w:r w:rsidRPr="0044767C">
        <w:rPr>
          <w:rFonts w:asciiTheme="minorHAnsi" w:hAnsiTheme="minorHAnsi"/>
        </w:rPr>
        <w:t xml:space="preserve">, the average percentage of students </w:t>
      </w:r>
      <w:r w:rsidR="007A71CE">
        <w:rPr>
          <w:rFonts w:asciiTheme="minorHAnsi" w:hAnsiTheme="minorHAnsi"/>
        </w:rPr>
        <w:t xml:space="preserve">from the top 10 feeder higher schools </w:t>
      </w:r>
      <w:r w:rsidRPr="0044767C">
        <w:rPr>
          <w:rFonts w:asciiTheme="minorHAnsi" w:hAnsiTheme="minorHAnsi"/>
        </w:rPr>
        <w:t xml:space="preserve">who either met or exceeded the CAASPP standards for English was 51%, which is 7% higher than the </w:t>
      </w:r>
      <w:r w:rsidR="00FB6DA3">
        <w:rPr>
          <w:rFonts w:asciiTheme="minorHAnsi" w:hAnsiTheme="minorHAnsi"/>
        </w:rPr>
        <w:t>State</w:t>
      </w:r>
      <w:r w:rsidRPr="0044767C">
        <w:rPr>
          <w:rFonts w:asciiTheme="minorHAnsi" w:hAnsiTheme="minorHAnsi"/>
        </w:rPr>
        <w:t xml:space="preserve"> average of 44%. The average percentage of </w:t>
      </w:r>
      <w:r w:rsidR="007A71CE">
        <w:rPr>
          <w:rFonts w:asciiTheme="minorHAnsi" w:hAnsiTheme="minorHAnsi"/>
        </w:rPr>
        <w:t xml:space="preserve">top 10 </w:t>
      </w:r>
      <w:r w:rsidRPr="0044767C">
        <w:rPr>
          <w:rFonts w:asciiTheme="minorHAnsi" w:hAnsiTheme="minorHAnsi"/>
        </w:rPr>
        <w:t xml:space="preserve">feeder high school students who either met or exceeded the CAASPP standards for math was 22%, which is 11% lower than the </w:t>
      </w:r>
      <w:r w:rsidR="00FB6DA3">
        <w:rPr>
          <w:rFonts w:asciiTheme="minorHAnsi" w:hAnsiTheme="minorHAnsi"/>
        </w:rPr>
        <w:t>State</w:t>
      </w:r>
      <w:r w:rsidRPr="0044767C">
        <w:rPr>
          <w:rFonts w:asciiTheme="minorHAnsi" w:hAnsiTheme="minorHAnsi"/>
        </w:rPr>
        <w:t xml:space="preserve"> average of 33%.</w:t>
      </w:r>
    </w:p>
    <w:p w:rsidR="007A71CE" w:rsidRDefault="007A71CE" w:rsidP="0044767C">
      <w:pPr>
        <w:tabs>
          <w:tab w:val="left" w:pos="3870"/>
        </w:tabs>
        <w:contextualSpacing/>
        <w:jc w:val="both"/>
        <w:rPr>
          <w:rFonts w:asciiTheme="minorHAnsi" w:hAnsiTheme="minorHAnsi"/>
        </w:rPr>
      </w:pPr>
    </w:p>
    <w:p w:rsidR="007A71CE" w:rsidRPr="0044767C" w:rsidRDefault="007A71CE" w:rsidP="0044767C">
      <w:pPr>
        <w:tabs>
          <w:tab w:val="left" w:pos="3870"/>
        </w:tabs>
        <w:contextualSpacing/>
        <w:jc w:val="both"/>
        <w:rPr>
          <w:rFonts w:asciiTheme="minorHAnsi" w:hAnsiTheme="minorHAnsi"/>
        </w:rPr>
      </w:pPr>
      <w:r>
        <w:rPr>
          <w:rFonts w:asciiTheme="minorHAnsi" w:hAnsiTheme="minorHAnsi"/>
        </w:rPr>
        <w:t>It should be noted that although home schooled students constituted the 5</w:t>
      </w:r>
      <w:r w:rsidRPr="007A71CE">
        <w:rPr>
          <w:rFonts w:asciiTheme="minorHAnsi" w:hAnsiTheme="minorHAnsi"/>
          <w:vertAlign w:val="superscript"/>
        </w:rPr>
        <w:t>th</w:t>
      </w:r>
      <w:r>
        <w:rPr>
          <w:rFonts w:asciiTheme="minorHAnsi" w:hAnsiTheme="minorHAnsi"/>
        </w:rPr>
        <w:t xml:space="preserve"> ranked feeder high school in 2014-15, there are no CAASPP scores available for those students.</w:t>
      </w:r>
    </w:p>
    <w:p w:rsidR="0044767C" w:rsidRPr="0044767C" w:rsidRDefault="0044767C" w:rsidP="0044767C">
      <w:pPr>
        <w:tabs>
          <w:tab w:val="left" w:pos="3870"/>
        </w:tabs>
        <w:contextualSpacing/>
        <w:jc w:val="both"/>
        <w:rPr>
          <w:rFonts w:asciiTheme="minorHAnsi" w:hAnsiTheme="minorHAnsi"/>
        </w:rPr>
      </w:pPr>
    </w:p>
    <w:p w:rsidR="0044767C" w:rsidRPr="0044767C" w:rsidRDefault="0044767C" w:rsidP="007A71CE">
      <w:pPr>
        <w:tabs>
          <w:tab w:val="left" w:pos="3870"/>
        </w:tabs>
        <w:contextualSpacing/>
        <w:jc w:val="center"/>
        <w:rPr>
          <w:rFonts w:asciiTheme="minorHAnsi" w:hAnsiTheme="minorHAnsi"/>
          <w:b/>
          <w:color w:val="008000"/>
        </w:rPr>
      </w:pPr>
      <w:r w:rsidRPr="0044767C">
        <w:rPr>
          <w:rFonts w:asciiTheme="minorHAnsi" w:hAnsiTheme="minorHAnsi"/>
          <w:b/>
          <w:color w:val="008000"/>
        </w:rPr>
        <w:t xml:space="preserve">Exhibit 3.XX </w:t>
      </w:r>
      <w:proofErr w:type="gramStart"/>
      <w:r w:rsidR="004E5DFB">
        <w:rPr>
          <w:rFonts w:asciiTheme="minorHAnsi" w:hAnsiTheme="minorHAnsi"/>
          <w:b/>
          <w:color w:val="008000"/>
        </w:rPr>
        <w:t>F</w:t>
      </w:r>
      <w:r w:rsidR="00A17263">
        <w:rPr>
          <w:rFonts w:asciiTheme="minorHAnsi" w:hAnsiTheme="minorHAnsi"/>
          <w:b/>
          <w:color w:val="008000"/>
        </w:rPr>
        <w:t>all</w:t>
      </w:r>
      <w:proofErr w:type="gramEnd"/>
      <w:r w:rsidR="00A17263">
        <w:rPr>
          <w:rFonts w:asciiTheme="minorHAnsi" w:hAnsiTheme="minorHAnsi"/>
          <w:b/>
          <w:color w:val="008000"/>
        </w:rPr>
        <w:t xml:space="preserve"> 2014 </w:t>
      </w:r>
      <w:r w:rsidR="00464663">
        <w:rPr>
          <w:rFonts w:asciiTheme="minorHAnsi" w:hAnsiTheme="minorHAnsi"/>
          <w:b/>
          <w:color w:val="008000"/>
        </w:rPr>
        <w:t>Top Ten Feeder High School</w:t>
      </w:r>
      <w:r w:rsidRPr="0044767C">
        <w:rPr>
          <w:rFonts w:asciiTheme="minorHAnsi" w:hAnsiTheme="minorHAnsi"/>
          <w:b/>
          <w:color w:val="008000"/>
        </w:rPr>
        <w:t xml:space="preserve"> CAASPP Results (Administered in 11</w:t>
      </w:r>
      <w:r w:rsidRPr="0044767C">
        <w:rPr>
          <w:rFonts w:asciiTheme="minorHAnsi" w:hAnsiTheme="minorHAnsi"/>
          <w:b/>
          <w:color w:val="008000"/>
          <w:vertAlign w:val="superscript"/>
        </w:rPr>
        <w:t>th</w:t>
      </w:r>
      <w:r w:rsidRPr="0044767C">
        <w:rPr>
          <w:rFonts w:asciiTheme="minorHAnsi" w:hAnsiTheme="minorHAnsi"/>
          <w:b/>
          <w:color w:val="008000"/>
        </w:rPr>
        <w:t xml:space="preserve"> Grade)</w:t>
      </w:r>
    </w:p>
    <w:tbl>
      <w:tblPr>
        <w:tblW w:w="6833" w:type="dxa"/>
        <w:jc w:val="center"/>
        <w:tblInd w:w="93" w:type="dxa"/>
        <w:tblLook w:val="04A0" w:firstRow="1" w:lastRow="0" w:firstColumn="1" w:lastColumn="0" w:noHBand="0" w:noVBand="1"/>
      </w:tblPr>
      <w:tblGrid>
        <w:gridCol w:w="3518"/>
        <w:gridCol w:w="1767"/>
        <w:gridCol w:w="1548"/>
      </w:tblGrid>
      <w:tr w:rsidR="0044767C" w:rsidRPr="0044767C" w:rsidTr="00303861">
        <w:trPr>
          <w:trHeight w:val="990"/>
          <w:jc w:val="center"/>
        </w:trPr>
        <w:tc>
          <w:tcPr>
            <w:tcW w:w="3518" w:type="dxa"/>
            <w:vMerge w:val="restart"/>
            <w:shd w:val="clear" w:color="auto" w:fill="525252" w:themeFill="accent3" w:themeFillShade="80"/>
            <w:noWrap/>
            <w:vAlign w:val="center"/>
            <w:hideMark/>
          </w:tcPr>
          <w:p w:rsidR="0044767C" w:rsidRPr="0044767C" w:rsidRDefault="0044767C" w:rsidP="00303861">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School</w:t>
            </w:r>
          </w:p>
        </w:tc>
        <w:tc>
          <w:tcPr>
            <w:tcW w:w="3315" w:type="dxa"/>
            <w:gridSpan w:val="2"/>
            <w:shd w:val="clear" w:color="auto" w:fill="525252" w:themeFill="accent3" w:themeFillShade="80"/>
            <w:vAlign w:val="center"/>
            <w:hideMark/>
          </w:tcPr>
          <w:p w:rsidR="0044767C" w:rsidRPr="0044767C" w:rsidRDefault="0044767C" w:rsidP="00303861">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Percent of Students Who Met or Exceeded Standards</w:t>
            </w:r>
          </w:p>
        </w:tc>
      </w:tr>
      <w:tr w:rsidR="0044767C" w:rsidRPr="0044767C" w:rsidTr="00303861">
        <w:trPr>
          <w:trHeight w:val="300"/>
          <w:jc w:val="center"/>
        </w:trPr>
        <w:tc>
          <w:tcPr>
            <w:tcW w:w="3518" w:type="dxa"/>
            <w:vMerge/>
            <w:tcBorders>
              <w:top w:val="single" w:sz="4" w:space="0" w:color="auto"/>
            </w:tcBorders>
            <w:vAlign w:val="center"/>
            <w:hideMark/>
          </w:tcPr>
          <w:p w:rsidR="0044767C" w:rsidRPr="0044767C" w:rsidRDefault="0044767C" w:rsidP="00303861">
            <w:pPr>
              <w:spacing w:after="0" w:line="240" w:lineRule="auto"/>
              <w:jc w:val="center"/>
              <w:rPr>
                <w:rFonts w:asciiTheme="minorHAnsi" w:eastAsia="Times New Roman" w:hAnsiTheme="minorHAnsi" w:cs="Times New Roman"/>
              </w:rPr>
            </w:pPr>
          </w:p>
        </w:tc>
        <w:tc>
          <w:tcPr>
            <w:tcW w:w="1767" w:type="dxa"/>
            <w:shd w:val="clear" w:color="auto" w:fill="525252" w:themeFill="accent3" w:themeFillShade="80"/>
            <w:noWrap/>
            <w:vAlign w:val="bottom"/>
            <w:hideMark/>
          </w:tcPr>
          <w:p w:rsidR="0044767C" w:rsidRPr="0044767C" w:rsidRDefault="0044767C" w:rsidP="00303861">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English</w:t>
            </w:r>
          </w:p>
        </w:tc>
        <w:tc>
          <w:tcPr>
            <w:tcW w:w="1548" w:type="dxa"/>
            <w:shd w:val="clear" w:color="auto" w:fill="525252" w:themeFill="accent3" w:themeFillShade="80"/>
            <w:noWrap/>
            <w:vAlign w:val="bottom"/>
            <w:hideMark/>
          </w:tcPr>
          <w:p w:rsidR="0044767C" w:rsidRPr="0044767C" w:rsidRDefault="0044767C" w:rsidP="00303861">
            <w:pPr>
              <w:spacing w:after="0" w:line="240" w:lineRule="auto"/>
              <w:jc w:val="center"/>
              <w:rPr>
                <w:rFonts w:asciiTheme="minorHAnsi" w:eastAsia="Times New Roman" w:hAnsiTheme="minorHAnsi" w:cs="Times New Roman"/>
                <w:color w:val="FFFFFF" w:themeColor="background1"/>
              </w:rPr>
            </w:pPr>
            <w:r w:rsidRPr="0044767C">
              <w:rPr>
                <w:rFonts w:asciiTheme="minorHAnsi" w:eastAsia="Times New Roman" w:hAnsiTheme="minorHAnsi" w:cs="Times New Roman"/>
                <w:color w:val="FFFFFF" w:themeColor="background1"/>
              </w:rPr>
              <w:t>Math</w:t>
            </w:r>
          </w:p>
        </w:tc>
      </w:tr>
      <w:tr w:rsidR="0044767C" w:rsidRPr="0044767C" w:rsidTr="00303861">
        <w:trPr>
          <w:trHeight w:val="300"/>
          <w:jc w:val="center"/>
        </w:trPr>
        <w:tc>
          <w:tcPr>
            <w:tcW w:w="3518" w:type="dxa"/>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Yucaipa High</w:t>
            </w:r>
          </w:p>
        </w:tc>
        <w:tc>
          <w:tcPr>
            <w:tcW w:w="1767" w:type="dxa"/>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52%</w:t>
            </w:r>
          </w:p>
        </w:tc>
        <w:tc>
          <w:tcPr>
            <w:tcW w:w="1548" w:type="dxa"/>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24%</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Redlands East Valley High</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64%</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33%</w:t>
            </w:r>
          </w:p>
        </w:tc>
      </w:tr>
      <w:tr w:rsidR="0044767C" w:rsidRPr="0044767C" w:rsidTr="00303861">
        <w:trPr>
          <w:trHeight w:val="300"/>
          <w:jc w:val="center"/>
        </w:trPr>
        <w:tc>
          <w:tcPr>
            <w:tcW w:w="351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Citrus Valley High</w:t>
            </w:r>
          </w:p>
        </w:tc>
        <w:tc>
          <w:tcPr>
            <w:tcW w:w="1767"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69%</w:t>
            </w:r>
          </w:p>
        </w:tc>
        <w:tc>
          <w:tcPr>
            <w:tcW w:w="154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37%</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Redlands Senior High</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77%</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45%</w:t>
            </w:r>
          </w:p>
        </w:tc>
      </w:tr>
      <w:tr w:rsidR="0044767C" w:rsidRPr="0044767C" w:rsidTr="00303861">
        <w:trPr>
          <w:trHeight w:val="300"/>
          <w:jc w:val="center"/>
        </w:trPr>
        <w:tc>
          <w:tcPr>
            <w:tcW w:w="351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Other Home School</w:t>
            </w:r>
          </w:p>
        </w:tc>
        <w:tc>
          <w:tcPr>
            <w:tcW w:w="1767"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N/A</w:t>
            </w:r>
          </w:p>
        </w:tc>
        <w:tc>
          <w:tcPr>
            <w:tcW w:w="154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N/A</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Beaumont Senior High</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55%</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22%</w:t>
            </w:r>
          </w:p>
        </w:tc>
      </w:tr>
      <w:tr w:rsidR="0044767C" w:rsidRPr="0044767C" w:rsidTr="00303861">
        <w:trPr>
          <w:trHeight w:val="300"/>
          <w:jc w:val="center"/>
        </w:trPr>
        <w:tc>
          <w:tcPr>
            <w:tcW w:w="351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San Gorgonio High</w:t>
            </w:r>
          </w:p>
        </w:tc>
        <w:tc>
          <w:tcPr>
            <w:tcW w:w="1767"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45%</w:t>
            </w:r>
          </w:p>
        </w:tc>
        <w:tc>
          <w:tcPr>
            <w:tcW w:w="154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18%</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Green Valley High</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26%</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w:t>
            </w:r>
          </w:p>
        </w:tc>
      </w:tr>
      <w:tr w:rsidR="0044767C" w:rsidRPr="0044767C" w:rsidTr="00303861">
        <w:trPr>
          <w:trHeight w:val="300"/>
          <w:jc w:val="center"/>
        </w:trPr>
        <w:tc>
          <w:tcPr>
            <w:tcW w:w="351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Orangewood High Continuation</w:t>
            </w:r>
          </w:p>
        </w:tc>
        <w:tc>
          <w:tcPr>
            <w:tcW w:w="1767"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12%</w:t>
            </w:r>
          </w:p>
        </w:tc>
        <w:tc>
          <w:tcPr>
            <w:tcW w:w="154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Rim of the World Senior High</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60%</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16%</w:t>
            </w:r>
          </w:p>
        </w:tc>
      </w:tr>
      <w:tr w:rsidR="0044767C" w:rsidRPr="0044767C" w:rsidTr="00303861">
        <w:trPr>
          <w:trHeight w:val="300"/>
          <w:jc w:val="center"/>
        </w:trPr>
        <w:tc>
          <w:tcPr>
            <w:tcW w:w="351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Feeder Average</w:t>
            </w:r>
          </w:p>
        </w:tc>
        <w:tc>
          <w:tcPr>
            <w:tcW w:w="1767"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51%</w:t>
            </w:r>
          </w:p>
        </w:tc>
        <w:tc>
          <w:tcPr>
            <w:tcW w:w="1548" w:type="dxa"/>
            <w:tcBorders>
              <w:top w:val="nil"/>
            </w:tcBorders>
            <w:shd w:val="clear" w:color="auto" w:fill="DBDBDB" w:themeFill="accent3" w:themeFillTint="66"/>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22%</w:t>
            </w:r>
          </w:p>
        </w:tc>
      </w:tr>
      <w:tr w:rsidR="0044767C" w:rsidRPr="0044767C" w:rsidTr="00303861">
        <w:trPr>
          <w:trHeight w:val="300"/>
          <w:jc w:val="center"/>
        </w:trPr>
        <w:tc>
          <w:tcPr>
            <w:tcW w:w="3518" w:type="dxa"/>
            <w:tcBorders>
              <w:top w:val="nil"/>
            </w:tcBorders>
            <w:shd w:val="clear" w:color="auto" w:fill="auto"/>
            <w:noWrap/>
            <w:vAlign w:val="bottom"/>
            <w:hideMark/>
          </w:tcPr>
          <w:p w:rsidR="0044767C" w:rsidRPr="0044767C" w:rsidRDefault="0044767C" w:rsidP="00303861">
            <w:pPr>
              <w:spacing w:after="0" w:line="240" w:lineRule="auto"/>
              <w:jc w:val="right"/>
              <w:rPr>
                <w:rFonts w:asciiTheme="minorHAnsi" w:eastAsia="Times New Roman" w:hAnsiTheme="minorHAnsi" w:cs="Times New Roman"/>
              </w:rPr>
            </w:pPr>
            <w:r w:rsidRPr="0044767C">
              <w:rPr>
                <w:rFonts w:asciiTheme="minorHAnsi" w:eastAsia="Times New Roman" w:hAnsiTheme="minorHAnsi" w:cs="Times New Roman"/>
              </w:rPr>
              <w:t>California</w:t>
            </w:r>
          </w:p>
        </w:tc>
        <w:tc>
          <w:tcPr>
            <w:tcW w:w="1767"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44%</w:t>
            </w:r>
          </w:p>
        </w:tc>
        <w:tc>
          <w:tcPr>
            <w:tcW w:w="1548" w:type="dxa"/>
            <w:tcBorders>
              <w:top w:val="nil"/>
            </w:tcBorders>
            <w:shd w:val="clear" w:color="auto" w:fill="auto"/>
            <w:noWrap/>
            <w:vAlign w:val="bottom"/>
            <w:hideMark/>
          </w:tcPr>
          <w:p w:rsidR="0044767C" w:rsidRPr="0044767C" w:rsidRDefault="0044767C" w:rsidP="00303861">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33%</w:t>
            </w:r>
          </w:p>
        </w:tc>
      </w:tr>
    </w:tbl>
    <w:p w:rsidR="0044767C" w:rsidRPr="00464663" w:rsidRDefault="0044767C" w:rsidP="007A71CE">
      <w:pPr>
        <w:tabs>
          <w:tab w:val="left" w:pos="3870"/>
        </w:tabs>
        <w:ind w:left="810"/>
        <w:contextualSpacing/>
        <w:jc w:val="both"/>
        <w:rPr>
          <w:rFonts w:asciiTheme="minorHAnsi" w:hAnsiTheme="minorHAnsi"/>
          <w:i/>
          <w:sz w:val="20"/>
          <w:szCs w:val="20"/>
        </w:rPr>
      </w:pPr>
      <w:r w:rsidRPr="00464663">
        <w:rPr>
          <w:rFonts w:asciiTheme="minorHAnsi" w:hAnsiTheme="minorHAnsi"/>
          <w:i/>
          <w:sz w:val="20"/>
          <w:szCs w:val="20"/>
        </w:rPr>
        <w:t xml:space="preserve">Source: California Department of Education, </w:t>
      </w:r>
      <w:proofErr w:type="spellStart"/>
      <w:r w:rsidRPr="00464663">
        <w:rPr>
          <w:rFonts w:asciiTheme="minorHAnsi" w:hAnsiTheme="minorHAnsi"/>
          <w:i/>
          <w:sz w:val="20"/>
          <w:szCs w:val="20"/>
        </w:rPr>
        <w:t>DataQuest</w:t>
      </w:r>
      <w:proofErr w:type="spellEnd"/>
    </w:p>
    <w:p w:rsidR="0044767C" w:rsidRPr="0044767C" w:rsidRDefault="0044767C" w:rsidP="0044767C">
      <w:pPr>
        <w:contextualSpacing/>
        <w:jc w:val="both"/>
        <w:rPr>
          <w:rFonts w:asciiTheme="minorHAnsi" w:hAnsiTheme="minorHAnsi"/>
        </w:rPr>
      </w:pP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color w:val="008000"/>
        </w:rPr>
        <w:t>Neighboring Higher Education Institutions</w:t>
      </w:r>
    </w:p>
    <w:p w:rsidR="0044767C" w:rsidRPr="0044767C" w:rsidRDefault="00C518C7" w:rsidP="0044767C">
      <w:pPr>
        <w:contextualSpacing/>
        <w:jc w:val="both"/>
        <w:rPr>
          <w:rFonts w:asciiTheme="minorHAnsi" w:hAnsiTheme="minorHAnsi"/>
        </w:rPr>
      </w:pPr>
      <w:r>
        <w:rPr>
          <w:rFonts w:asciiTheme="minorHAnsi" w:hAnsiTheme="minorHAnsi"/>
        </w:rPr>
        <w:t>Recognizing</w:t>
      </w:r>
      <w:r w:rsidR="0044767C" w:rsidRPr="0044767C">
        <w:rPr>
          <w:rFonts w:asciiTheme="minorHAnsi" w:hAnsiTheme="minorHAnsi"/>
        </w:rPr>
        <w:t xml:space="preserve"> other higher educational institutions located within a reasonable distance of the CHC service area is </w:t>
      </w:r>
      <w:r>
        <w:rPr>
          <w:rFonts w:asciiTheme="minorHAnsi" w:hAnsiTheme="minorHAnsi"/>
        </w:rPr>
        <w:t xml:space="preserve">an </w:t>
      </w:r>
      <w:r w:rsidR="0044767C" w:rsidRPr="0044767C">
        <w:rPr>
          <w:rFonts w:asciiTheme="minorHAnsi" w:hAnsiTheme="minorHAnsi"/>
        </w:rPr>
        <w:t xml:space="preserve">important </w:t>
      </w:r>
      <w:r>
        <w:rPr>
          <w:rFonts w:asciiTheme="minorHAnsi" w:hAnsiTheme="minorHAnsi"/>
        </w:rPr>
        <w:t>factor in</w:t>
      </w:r>
      <w:r w:rsidR="0044767C" w:rsidRPr="0044767C">
        <w:rPr>
          <w:rFonts w:asciiTheme="minorHAnsi" w:hAnsiTheme="minorHAnsi"/>
        </w:rPr>
        <w:t xml:space="preserve"> understanding educational options available to service area residents. </w:t>
      </w:r>
      <w:r>
        <w:rPr>
          <w:rFonts w:asciiTheme="minorHAnsi" w:hAnsiTheme="minorHAnsi"/>
        </w:rPr>
        <w:t>For those with vehicular transportation means, a</w:t>
      </w:r>
      <w:r w:rsidR="0044767C" w:rsidRPr="0044767C">
        <w:rPr>
          <w:rFonts w:asciiTheme="minorHAnsi" w:hAnsiTheme="minorHAnsi"/>
        </w:rPr>
        <w:t>n approximate one hour drive</w:t>
      </w:r>
      <w:r>
        <w:rPr>
          <w:rFonts w:asciiTheme="minorHAnsi" w:hAnsiTheme="minorHAnsi"/>
        </w:rPr>
        <w:t>-</w:t>
      </w:r>
      <w:r w:rsidR="0044767C" w:rsidRPr="0044767C">
        <w:rPr>
          <w:rFonts w:asciiTheme="minorHAnsi" w:hAnsiTheme="minorHAnsi"/>
        </w:rPr>
        <w:t>time is considered a reasonable distance for service area residents to travel for higher education needs.</w:t>
      </w:r>
    </w:p>
    <w:p w:rsidR="0044767C" w:rsidRPr="0044767C" w:rsidRDefault="0044767C" w:rsidP="0044767C">
      <w:pPr>
        <w:contextualSpacing/>
        <w:jc w:val="both"/>
        <w:rPr>
          <w:rFonts w:asciiTheme="minorHAnsi" w:hAnsiTheme="minorHAnsi"/>
        </w:rPr>
      </w:pPr>
    </w:p>
    <w:p w:rsidR="0044767C" w:rsidRPr="0044767C" w:rsidRDefault="00C518C7" w:rsidP="0044767C">
      <w:pPr>
        <w:contextualSpacing/>
        <w:jc w:val="both"/>
        <w:rPr>
          <w:rFonts w:asciiTheme="minorHAnsi" w:hAnsiTheme="minorHAnsi"/>
        </w:rPr>
      </w:pPr>
      <w:r>
        <w:rPr>
          <w:rFonts w:asciiTheme="minorHAnsi" w:hAnsiTheme="minorHAnsi"/>
        </w:rPr>
        <w:lastRenderedPageBreak/>
        <w:t>A</w:t>
      </w:r>
      <w:r w:rsidR="008F6684">
        <w:rPr>
          <w:rFonts w:asciiTheme="minorHAnsi" w:hAnsiTheme="minorHAnsi"/>
        </w:rPr>
        <w:t>pproximately 47</w:t>
      </w:r>
      <w:r>
        <w:rPr>
          <w:rFonts w:asciiTheme="minorHAnsi" w:hAnsiTheme="minorHAnsi"/>
        </w:rPr>
        <w:t xml:space="preserve"> higher education institutions</w:t>
      </w:r>
      <w:r w:rsidR="0044767C" w:rsidRPr="0044767C">
        <w:rPr>
          <w:rFonts w:asciiTheme="minorHAnsi" w:hAnsiTheme="minorHAnsi"/>
        </w:rPr>
        <w:t xml:space="preserve"> are </w:t>
      </w:r>
      <w:r>
        <w:rPr>
          <w:rFonts w:asciiTheme="minorHAnsi" w:hAnsiTheme="minorHAnsi"/>
        </w:rPr>
        <w:t xml:space="preserve">within </w:t>
      </w:r>
      <w:r w:rsidR="007A15B2">
        <w:rPr>
          <w:rFonts w:asciiTheme="minorHAnsi" w:hAnsiTheme="minorHAnsi"/>
        </w:rPr>
        <w:t xml:space="preserve">approximately </w:t>
      </w:r>
      <w:r>
        <w:rPr>
          <w:rFonts w:asciiTheme="minorHAnsi" w:hAnsiTheme="minorHAnsi"/>
        </w:rPr>
        <w:t>one</w:t>
      </w:r>
      <w:r w:rsidR="0044767C" w:rsidRPr="0044767C">
        <w:rPr>
          <w:rFonts w:asciiTheme="minorHAnsi" w:hAnsiTheme="minorHAnsi"/>
        </w:rPr>
        <w:t xml:space="preserve"> driving hour away from CHC. </w:t>
      </w:r>
      <w:r w:rsidR="004E5DFB">
        <w:rPr>
          <w:rFonts w:asciiTheme="minorHAnsi" w:hAnsiTheme="minorHAnsi"/>
        </w:rPr>
        <w:t>Of those institutions</w:t>
      </w:r>
      <w:r w:rsidR="007A15B2">
        <w:rPr>
          <w:rFonts w:asciiTheme="minorHAnsi" w:hAnsiTheme="minorHAnsi"/>
        </w:rPr>
        <w:t>,</w:t>
      </w:r>
      <w:r w:rsidR="004E5DFB">
        <w:rPr>
          <w:rFonts w:asciiTheme="minorHAnsi" w:hAnsiTheme="minorHAnsi"/>
        </w:rPr>
        <w:t xml:space="preserve"> </w:t>
      </w:r>
      <w:r w:rsidR="0003584F">
        <w:rPr>
          <w:rFonts w:asciiTheme="minorHAnsi" w:hAnsiTheme="minorHAnsi"/>
        </w:rPr>
        <w:t>20</w:t>
      </w:r>
      <w:r w:rsidR="0044767C" w:rsidRPr="0044767C">
        <w:rPr>
          <w:rFonts w:asciiTheme="minorHAnsi" w:hAnsiTheme="minorHAnsi"/>
        </w:rPr>
        <w:t xml:space="preserve"> are California Community Colleges</w:t>
      </w:r>
      <w:r>
        <w:rPr>
          <w:rFonts w:asciiTheme="minorHAnsi" w:hAnsiTheme="minorHAnsi"/>
        </w:rPr>
        <w:t xml:space="preserve"> (excluding San Bernardino Valley College)</w:t>
      </w:r>
      <w:r w:rsidR="0044767C" w:rsidRPr="0044767C">
        <w:rPr>
          <w:rFonts w:asciiTheme="minorHAnsi" w:hAnsiTheme="minorHAnsi"/>
        </w:rPr>
        <w:t xml:space="preserve">. There are </w:t>
      </w:r>
      <w:r w:rsidR="007A15B2">
        <w:rPr>
          <w:rFonts w:asciiTheme="minorHAnsi" w:hAnsiTheme="minorHAnsi"/>
        </w:rPr>
        <w:t xml:space="preserve">also two vocational colleges, </w:t>
      </w:r>
      <w:r w:rsidR="0044767C" w:rsidRPr="0044767C">
        <w:rPr>
          <w:rFonts w:asciiTheme="minorHAnsi" w:hAnsiTheme="minorHAnsi"/>
        </w:rPr>
        <w:t>one private vocational college</w:t>
      </w:r>
      <w:r w:rsidR="007A15B2">
        <w:rPr>
          <w:rFonts w:asciiTheme="minorHAnsi" w:hAnsiTheme="minorHAnsi"/>
        </w:rPr>
        <w:t xml:space="preserve"> and </w:t>
      </w:r>
      <w:r w:rsidR="0044767C" w:rsidRPr="0044767C">
        <w:rPr>
          <w:rFonts w:asciiTheme="minorHAnsi" w:hAnsiTheme="minorHAnsi"/>
        </w:rPr>
        <w:t>a private junior college</w:t>
      </w:r>
      <w:r>
        <w:rPr>
          <w:rFonts w:asciiTheme="minorHAnsi" w:hAnsiTheme="minorHAnsi"/>
        </w:rPr>
        <w:t xml:space="preserve"> within one</w:t>
      </w:r>
      <w:r w:rsidR="007A15B2">
        <w:rPr>
          <w:rFonts w:asciiTheme="minorHAnsi" w:hAnsiTheme="minorHAnsi"/>
        </w:rPr>
        <w:t xml:space="preserve"> driving hour from CHC</w:t>
      </w:r>
      <w:r w:rsidR="0044767C" w:rsidRPr="0044767C">
        <w:rPr>
          <w:rFonts w:asciiTheme="minorHAnsi" w:hAnsiTheme="minorHAnsi"/>
        </w:rPr>
        <w:t xml:space="preserve">. </w:t>
      </w:r>
      <w:r w:rsidR="007A15B2">
        <w:rPr>
          <w:rFonts w:asciiTheme="minorHAnsi" w:hAnsiTheme="minorHAnsi"/>
        </w:rPr>
        <w:t xml:space="preserve">Among neighboring higher educational institutions, </w:t>
      </w:r>
      <w:r w:rsidR="0044767C" w:rsidRPr="0044767C">
        <w:rPr>
          <w:rFonts w:asciiTheme="minorHAnsi" w:hAnsiTheme="minorHAnsi"/>
        </w:rPr>
        <w:t>17 are private 4-year colleges</w:t>
      </w:r>
      <w:r w:rsidR="007A15B2">
        <w:rPr>
          <w:rFonts w:asciiTheme="minorHAnsi" w:hAnsiTheme="minorHAnsi"/>
        </w:rPr>
        <w:t xml:space="preserve"> and </w:t>
      </w:r>
      <w:r w:rsidR="0044767C" w:rsidRPr="0044767C">
        <w:rPr>
          <w:rFonts w:asciiTheme="minorHAnsi" w:hAnsiTheme="minorHAnsi"/>
        </w:rPr>
        <w:t xml:space="preserve">four </w:t>
      </w:r>
      <w:r w:rsidR="007A15B2">
        <w:rPr>
          <w:rFonts w:asciiTheme="minorHAnsi" w:hAnsiTheme="minorHAnsi"/>
        </w:rPr>
        <w:t xml:space="preserve">are </w:t>
      </w:r>
      <w:r w:rsidR="0044767C" w:rsidRPr="0044767C">
        <w:rPr>
          <w:rFonts w:asciiTheme="minorHAnsi" w:hAnsiTheme="minorHAnsi"/>
        </w:rPr>
        <w:t xml:space="preserve">California </w:t>
      </w:r>
      <w:r w:rsidR="00FB6DA3">
        <w:rPr>
          <w:rFonts w:asciiTheme="minorHAnsi" w:hAnsiTheme="minorHAnsi"/>
        </w:rPr>
        <w:t>State</w:t>
      </w:r>
      <w:r w:rsidR="0044767C" w:rsidRPr="0044767C">
        <w:rPr>
          <w:rFonts w:asciiTheme="minorHAnsi" w:hAnsiTheme="minorHAnsi"/>
        </w:rPr>
        <w:t xml:space="preserve"> Universities (Cal Poly Pomona, CSU San Bernardino, CSU Fullerton and CSU Los Angeles</w:t>
      </w:r>
      <w:r w:rsidR="007A15B2">
        <w:rPr>
          <w:rFonts w:asciiTheme="minorHAnsi" w:hAnsiTheme="minorHAnsi"/>
        </w:rPr>
        <w:t>)</w:t>
      </w:r>
      <w:r w:rsidR="0044767C" w:rsidRPr="0044767C">
        <w:rPr>
          <w:rFonts w:asciiTheme="minorHAnsi" w:hAnsiTheme="minorHAnsi"/>
        </w:rPr>
        <w:t>. Two</w:t>
      </w:r>
      <w:r w:rsidR="007A15B2">
        <w:rPr>
          <w:rFonts w:asciiTheme="minorHAnsi" w:hAnsiTheme="minorHAnsi"/>
        </w:rPr>
        <w:t xml:space="preserve"> of the neighboring higher educational institutions from CHC</w:t>
      </w:r>
      <w:r w:rsidR="0044767C" w:rsidRPr="0044767C">
        <w:rPr>
          <w:rFonts w:asciiTheme="minorHAnsi" w:hAnsiTheme="minorHAnsi"/>
        </w:rPr>
        <w:t xml:space="preserve"> belong to the University of California system (UC Riverside and UC Irvine).</w:t>
      </w:r>
    </w:p>
    <w:p w:rsidR="0044767C" w:rsidRPr="0044767C" w:rsidRDefault="0044767C" w:rsidP="0044767C">
      <w:pPr>
        <w:contextualSpacing/>
        <w:jc w:val="both"/>
        <w:rPr>
          <w:rFonts w:asciiTheme="minorHAnsi" w:hAnsiTheme="minorHAnsi"/>
        </w:rPr>
      </w:pPr>
    </w:p>
    <w:p w:rsidR="0044767C" w:rsidRPr="0044767C" w:rsidRDefault="0044767C" w:rsidP="004E5DFB">
      <w:pPr>
        <w:contextualSpacing/>
        <w:jc w:val="center"/>
        <w:rPr>
          <w:rFonts w:asciiTheme="minorHAnsi" w:hAnsiTheme="minorHAnsi"/>
          <w:b/>
          <w:color w:val="008000"/>
        </w:rPr>
      </w:pPr>
      <w:r w:rsidRPr="0044767C">
        <w:rPr>
          <w:rFonts w:asciiTheme="minorHAnsi" w:hAnsiTheme="minorHAnsi"/>
          <w:b/>
          <w:color w:val="008000"/>
        </w:rPr>
        <w:t>Exhibit 3.XX Neighboring Higher Education Institutions</w:t>
      </w:r>
    </w:p>
    <w:tbl>
      <w:tblPr>
        <w:tblW w:w="10370" w:type="dxa"/>
        <w:jc w:val="center"/>
        <w:tblInd w:w="93" w:type="dxa"/>
        <w:tblLook w:val="04A0" w:firstRow="1" w:lastRow="0" w:firstColumn="1" w:lastColumn="0" w:noHBand="0" w:noVBand="1"/>
      </w:tblPr>
      <w:tblGrid>
        <w:gridCol w:w="4760"/>
        <w:gridCol w:w="3270"/>
        <w:gridCol w:w="1040"/>
        <w:gridCol w:w="1300"/>
      </w:tblGrid>
      <w:tr w:rsidR="0044767C" w:rsidRPr="0044767C" w:rsidTr="00F35F0D">
        <w:trPr>
          <w:trHeight w:val="900"/>
          <w:jc w:val="center"/>
        </w:trPr>
        <w:tc>
          <w:tcPr>
            <w:tcW w:w="4760" w:type="dxa"/>
            <w:shd w:val="clear" w:color="auto" w:fill="525252" w:themeFill="accent3" w:themeFillShade="80"/>
            <w:noWrap/>
            <w:vAlign w:val="center"/>
            <w:hideMark/>
          </w:tcPr>
          <w:p w:rsidR="0044767C" w:rsidRPr="0044767C" w:rsidRDefault="0044767C" w:rsidP="007A15B2">
            <w:pPr>
              <w:spacing w:after="0" w:line="240" w:lineRule="auto"/>
              <w:jc w:val="center"/>
              <w:rPr>
                <w:rFonts w:asciiTheme="minorHAnsi" w:eastAsia="Times New Roman" w:hAnsiTheme="minorHAnsi" w:cs="Times New Roman"/>
                <w:b/>
                <w:bCs/>
                <w:color w:val="FFFFFF" w:themeColor="background1"/>
              </w:rPr>
            </w:pPr>
            <w:r w:rsidRPr="0044767C">
              <w:rPr>
                <w:rFonts w:asciiTheme="minorHAnsi" w:eastAsia="Times New Roman" w:hAnsiTheme="minorHAnsi" w:cs="Times New Roman"/>
                <w:b/>
                <w:bCs/>
                <w:color w:val="FFFFFF" w:themeColor="background1"/>
              </w:rPr>
              <w:t>Institution</w:t>
            </w:r>
          </w:p>
        </w:tc>
        <w:tc>
          <w:tcPr>
            <w:tcW w:w="3270" w:type="dxa"/>
            <w:shd w:val="clear" w:color="auto" w:fill="525252" w:themeFill="accent3" w:themeFillShade="80"/>
            <w:noWrap/>
            <w:vAlign w:val="center"/>
            <w:hideMark/>
          </w:tcPr>
          <w:p w:rsidR="0044767C" w:rsidRPr="0044767C" w:rsidRDefault="0044767C" w:rsidP="007A15B2">
            <w:pPr>
              <w:spacing w:after="0" w:line="240" w:lineRule="auto"/>
              <w:jc w:val="center"/>
              <w:rPr>
                <w:rFonts w:asciiTheme="minorHAnsi" w:eastAsia="Times New Roman" w:hAnsiTheme="minorHAnsi" w:cs="Times New Roman"/>
                <w:b/>
                <w:bCs/>
                <w:color w:val="FFFFFF" w:themeColor="background1"/>
              </w:rPr>
            </w:pPr>
            <w:r w:rsidRPr="0044767C">
              <w:rPr>
                <w:rFonts w:asciiTheme="minorHAnsi" w:eastAsia="Times New Roman" w:hAnsiTheme="minorHAnsi" w:cs="Times New Roman"/>
                <w:b/>
                <w:bCs/>
                <w:color w:val="FFFFFF" w:themeColor="background1"/>
              </w:rPr>
              <w:t>Type</w:t>
            </w:r>
          </w:p>
        </w:tc>
        <w:tc>
          <w:tcPr>
            <w:tcW w:w="1040" w:type="dxa"/>
            <w:shd w:val="clear" w:color="auto" w:fill="525252" w:themeFill="accent3" w:themeFillShade="80"/>
            <w:vAlign w:val="center"/>
            <w:hideMark/>
          </w:tcPr>
          <w:p w:rsidR="0044767C" w:rsidRPr="0044767C" w:rsidRDefault="0044767C" w:rsidP="007A15B2">
            <w:pPr>
              <w:spacing w:after="0" w:line="240" w:lineRule="auto"/>
              <w:jc w:val="center"/>
              <w:rPr>
                <w:rFonts w:asciiTheme="minorHAnsi" w:eastAsia="Times New Roman" w:hAnsiTheme="minorHAnsi" w:cs="Times New Roman"/>
                <w:b/>
                <w:bCs/>
                <w:color w:val="FFFFFF" w:themeColor="background1"/>
              </w:rPr>
            </w:pPr>
            <w:r w:rsidRPr="0044767C">
              <w:rPr>
                <w:rFonts w:asciiTheme="minorHAnsi" w:eastAsia="Times New Roman" w:hAnsiTheme="minorHAnsi" w:cs="Times New Roman"/>
                <w:b/>
                <w:bCs/>
                <w:color w:val="FFFFFF" w:themeColor="background1"/>
              </w:rPr>
              <w:t>Distance from CHC (mi)</w:t>
            </w:r>
          </w:p>
        </w:tc>
        <w:tc>
          <w:tcPr>
            <w:tcW w:w="1300" w:type="dxa"/>
            <w:shd w:val="clear" w:color="auto" w:fill="525252" w:themeFill="accent3" w:themeFillShade="80"/>
            <w:vAlign w:val="center"/>
            <w:hideMark/>
          </w:tcPr>
          <w:p w:rsidR="0044767C" w:rsidRPr="0044767C" w:rsidRDefault="007A15B2" w:rsidP="007A15B2">
            <w:pPr>
              <w:spacing w:after="0" w:line="240" w:lineRule="auto"/>
              <w:jc w:val="center"/>
              <w:rPr>
                <w:rFonts w:asciiTheme="minorHAnsi" w:eastAsia="Times New Roman" w:hAnsiTheme="minorHAnsi" w:cs="Times New Roman"/>
                <w:b/>
                <w:bCs/>
                <w:color w:val="FFFFFF" w:themeColor="background1"/>
              </w:rPr>
            </w:pPr>
            <w:r>
              <w:rPr>
                <w:rFonts w:asciiTheme="minorHAnsi" w:eastAsia="Times New Roman" w:hAnsiTheme="minorHAnsi" w:cs="Times New Roman"/>
                <w:b/>
                <w:bCs/>
                <w:color w:val="FFFFFF" w:themeColor="background1"/>
              </w:rPr>
              <w:t xml:space="preserve">Approx. </w:t>
            </w:r>
            <w:r w:rsidR="0044767C" w:rsidRPr="0044767C">
              <w:rPr>
                <w:rFonts w:asciiTheme="minorHAnsi" w:eastAsia="Times New Roman" w:hAnsiTheme="minorHAnsi" w:cs="Times New Roman"/>
                <w:b/>
                <w:bCs/>
                <w:color w:val="FFFFFF" w:themeColor="background1"/>
              </w:rPr>
              <w:t>Drive time from CHC</w:t>
            </w:r>
          </w:p>
        </w:tc>
      </w:tr>
      <w:tr w:rsidR="0044767C" w:rsidRPr="0044767C" w:rsidTr="00F35F0D">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University of Redlands</w:t>
            </w:r>
          </w:p>
        </w:tc>
        <w:tc>
          <w:tcPr>
            <w:tcW w:w="3270" w:type="dxa"/>
            <w:shd w:val="clear" w:color="auto" w:fill="DBDBDB" w:themeFill="accent3" w:themeFillTint="66"/>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4.3</w:t>
            </w:r>
          </w:p>
        </w:tc>
        <w:tc>
          <w:tcPr>
            <w:tcW w:w="1300" w:type="dxa"/>
            <w:shd w:val="clear" w:color="auto" w:fill="DBDBDB" w:themeFill="accent3" w:themeFillTint="66"/>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9 min</w:t>
            </w:r>
          </w:p>
        </w:tc>
      </w:tr>
      <w:tr w:rsidR="0044767C" w:rsidRPr="0044767C" w:rsidTr="00F35F0D">
        <w:trPr>
          <w:trHeight w:val="300"/>
          <w:jc w:val="center"/>
        </w:trPr>
        <w:tc>
          <w:tcPr>
            <w:tcW w:w="4760" w:type="dxa"/>
            <w:shd w:val="clear" w:color="auto" w:fill="auto"/>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National University</w:t>
            </w:r>
          </w:p>
        </w:tc>
        <w:tc>
          <w:tcPr>
            <w:tcW w:w="3270" w:type="dxa"/>
            <w:shd w:val="clear" w:color="auto" w:fill="auto"/>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12</w:t>
            </w:r>
          </w:p>
        </w:tc>
        <w:tc>
          <w:tcPr>
            <w:tcW w:w="1300" w:type="dxa"/>
            <w:shd w:val="clear" w:color="auto" w:fill="auto"/>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15 min</w:t>
            </w:r>
          </w:p>
        </w:tc>
      </w:tr>
      <w:tr w:rsidR="0044767C" w:rsidRPr="0044767C" w:rsidTr="00F35F0D">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Loma Linda University</w:t>
            </w:r>
          </w:p>
        </w:tc>
        <w:tc>
          <w:tcPr>
            <w:tcW w:w="3270" w:type="dxa"/>
            <w:shd w:val="clear" w:color="auto" w:fill="DBDBDB" w:themeFill="accent3" w:themeFillTint="66"/>
            <w:noWrap/>
            <w:vAlign w:val="bottom"/>
            <w:hideMark/>
          </w:tcPr>
          <w:p w:rsidR="0044767C" w:rsidRPr="0044767C" w:rsidRDefault="0044767C" w:rsidP="0044767C">
            <w:pPr>
              <w:spacing w:after="0" w:line="240" w:lineRule="auto"/>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12.3</w:t>
            </w:r>
          </w:p>
        </w:tc>
        <w:tc>
          <w:tcPr>
            <w:tcW w:w="1300" w:type="dxa"/>
            <w:shd w:val="clear" w:color="auto" w:fill="DBDBDB" w:themeFill="accent3" w:themeFillTint="66"/>
            <w:noWrap/>
            <w:vAlign w:val="bottom"/>
            <w:hideMark/>
          </w:tcPr>
          <w:p w:rsidR="0044767C" w:rsidRPr="0044767C" w:rsidRDefault="0044767C" w:rsidP="007A15B2">
            <w:pPr>
              <w:spacing w:after="0" w:line="240" w:lineRule="auto"/>
              <w:jc w:val="center"/>
              <w:rPr>
                <w:rFonts w:asciiTheme="minorHAnsi" w:eastAsia="Times New Roman" w:hAnsiTheme="minorHAnsi" w:cs="Times New Roman"/>
              </w:rPr>
            </w:pPr>
            <w:r w:rsidRPr="0044767C">
              <w:rPr>
                <w:rFonts w:asciiTheme="minorHAnsi" w:eastAsia="Times New Roman" w:hAnsiTheme="minorHAnsi" w:cs="Times New Roman"/>
              </w:rPr>
              <w:t>18 min</w:t>
            </w:r>
          </w:p>
        </w:tc>
      </w:tr>
      <w:tr w:rsidR="0044767C" w:rsidRPr="0044767C" w:rsidTr="00F35F0D">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Concorde Career College</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Vocational College</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12.9</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17 min</w:t>
            </w:r>
          </w:p>
        </w:tc>
      </w:tr>
      <w:tr w:rsidR="0044767C" w:rsidRPr="0044767C" w:rsidTr="00F35F0D">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Moreno Valley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17.8</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28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CSU San Bernardino</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 xml:space="preserve">California </w:t>
            </w:r>
            <w:r w:rsidR="00FB6DA3">
              <w:rPr>
                <w:rFonts w:asciiTheme="minorHAnsi" w:eastAsia="Times New Roman" w:hAnsiTheme="minorHAnsi" w:cs="Times New Roman"/>
              </w:rPr>
              <w:t>State</w:t>
            </w:r>
            <w:r w:rsidRPr="0044767C">
              <w:rPr>
                <w:rFonts w:asciiTheme="minorHAnsi" w:eastAsia="Times New Roman" w:hAnsiTheme="minorHAnsi" w:cs="Times New Roman"/>
              </w:rPr>
              <w:t xml:space="preserve"> University</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20.9</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24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UC Riverside</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University of California</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21</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25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University of Riverside</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21.8</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23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Riverside City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22</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26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Mt San Jacinto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22.6</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27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California Baptist University</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25.9</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29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San Joaquin Valley College</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Junior College</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28.9</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29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La Sierra University</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31.4</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33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Chaffey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33.9</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35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Claremont-McKenna College</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38.6</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43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Norco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39.7</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41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University of La Verne</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41.5</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43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Cal Poly Pomona</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Calif</w:t>
            </w:r>
            <w:r w:rsidR="00F35F0D">
              <w:rPr>
                <w:rFonts w:asciiTheme="minorHAnsi" w:eastAsia="Times New Roman" w:hAnsiTheme="minorHAnsi" w:cs="Times New Roman"/>
              </w:rPr>
              <w:t>ornia</w:t>
            </w:r>
            <w:r w:rsidRPr="0044767C">
              <w:rPr>
                <w:rFonts w:asciiTheme="minorHAnsi" w:eastAsia="Times New Roman" w:hAnsiTheme="minorHAnsi" w:cs="Times New Roman"/>
              </w:rPr>
              <w:t xml:space="preserve"> </w:t>
            </w:r>
            <w:r w:rsidR="00FB6DA3">
              <w:rPr>
                <w:rFonts w:asciiTheme="minorHAnsi" w:eastAsia="Times New Roman" w:hAnsiTheme="minorHAnsi" w:cs="Times New Roman"/>
              </w:rPr>
              <w:t>State</w:t>
            </w:r>
            <w:r w:rsidRPr="0044767C">
              <w:rPr>
                <w:rFonts w:asciiTheme="minorHAnsi" w:eastAsia="Times New Roman" w:hAnsiTheme="minorHAnsi" w:cs="Times New Roman"/>
              </w:rPr>
              <w:t xml:space="preserve"> University</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43.8</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44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San Antonio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46.7</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49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Santiago Canyon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51.6</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52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proofErr w:type="spellStart"/>
            <w:r w:rsidRPr="0044767C">
              <w:rPr>
                <w:rFonts w:asciiTheme="minorHAnsi" w:eastAsia="Times New Roman" w:hAnsiTheme="minorHAnsi" w:cs="Times New Roman"/>
              </w:rPr>
              <w:t>Asuza</w:t>
            </w:r>
            <w:proofErr w:type="spellEnd"/>
            <w:r w:rsidRPr="0044767C">
              <w:rPr>
                <w:rFonts w:asciiTheme="minorHAnsi" w:eastAsia="Times New Roman" w:hAnsiTheme="minorHAnsi" w:cs="Times New Roman"/>
              </w:rPr>
              <w:t xml:space="preserve"> Pacific University</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53</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50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Citrus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53.7</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51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College of the Desert</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54.7</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53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Chapman University</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55.6</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59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CSU Fullerton</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 xml:space="preserve">California </w:t>
            </w:r>
            <w:r w:rsidR="00FB6DA3">
              <w:rPr>
                <w:rFonts w:asciiTheme="minorHAnsi" w:eastAsia="Times New Roman" w:hAnsiTheme="minorHAnsi" w:cs="Times New Roman"/>
              </w:rPr>
              <w:t>State</w:t>
            </w:r>
            <w:r w:rsidRPr="0044767C">
              <w:rPr>
                <w:rFonts w:asciiTheme="minorHAnsi" w:eastAsia="Times New Roman" w:hAnsiTheme="minorHAnsi" w:cs="Times New Roman"/>
              </w:rPr>
              <w:t xml:space="preserve"> University</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56.9</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1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Anaheim University</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57.3</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5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proofErr w:type="spellStart"/>
            <w:r w:rsidRPr="0044767C">
              <w:rPr>
                <w:rFonts w:asciiTheme="minorHAnsi" w:eastAsia="Times New Roman" w:hAnsiTheme="minorHAnsi" w:cs="Times New Roman"/>
              </w:rPr>
              <w:t>Brownson</w:t>
            </w:r>
            <w:proofErr w:type="spellEnd"/>
            <w:r w:rsidRPr="0044767C">
              <w:rPr>
                <w:rFonts w:asciiTheme="minorHAnsi" w:eastAsia="Times New Roman" w:hAnsiTheme="minorHAnsi" w:cs="Times New Roman"/>
              </w:rPr>
              <w:t xml:space="preserve"> Technical School</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Vocational College</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57.7</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Hope International University</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58.2</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56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Rio Honda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59.1</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59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Fullerton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60.2</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59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Southern California University of Health Sciences</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Vocational College</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60.3</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7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lastRenderedPageBreak/>
              <w:t>Santa Ana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60.5</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3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UC Irvine</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University of California</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61.9</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13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Coastline Community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62.6</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7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Whittier College</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63.6</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9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Concordia University Irvine</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64.1</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6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CSU Los Angeles</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 xml:space="preserve">California </w:t>
            </w:r>
            <w:r w:rsidR="00FB6DA3">
              <w:rPr>
                <w:rFonts w:asciiTheme="minorHAnsi" w:eastAsia="Times New Roman" w:hAnsiTheme="minorHAnsi" w:cs="Times New Roman"/>
              </w:rPr>
              <w:t>State</w:t>
            </w:r>
            <w:r w:rsidRPr="0044767C">
              <w:rPr>
                <w:rFonts w:asciiTheme="minorHAnsi" w:eastAsia="Times New Roman" w:hAnsiTheme="minorHAnsi" w:cs="Times New Roman"/>
              </w:rPr>
              <w:t xml:space="preserve"> University</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64.9</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11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Cypress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65</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8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Vanguard University of Southern California</w:t>
            </w:r>
          </w:p>
        </w:tc>
        <w:tc>
          <w:tcPr>
            <w:tcW w:w="3270" w:type="dxa"/>
            <w:shd w:val="clear" w:color="auto" w:fill="DBDBDB" w:themeFill="accent3" w:themeFillTint="66"/>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65</w:t>
            </w:r>
          </w:p>
        </w:tc>
        <w:tc>
          <w:tcPr>
            <w:tcW w:w="1300" w:type="dxa"/>
            <w:shd w:val="clear" w:color="auto" w:fill="DBDBDB" w:themeFill="accent3" w:themeFillTint="66"/>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4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proofErr w:type="spellStart"/>
            <w:r w:rsidRPr="0044767C">
              <w:rPr>
                <w:rFonts w:asciiTheme="minorHAnsi" w:eastAsia="Times New Roman" w:hAnsiTheme="minorHAnsi" w:cs="Times New Roman"/>
              </w:rPr>
              <w:t>Biola</w:t>
            </w:r>
            <w:proofErr w:type="spellEnd"/>
            <w:r w:rsidRPr="0044767C">
              <w:rPr>
                <w:rFonts w:asciiTheme="minorHAnsi" w:eastAsia="Times New Roman" w:hAnsiTheme="minorHAnsi" w:cs="Times New Roman"/>
              </w:rPr>
              <w:t xml:space="preserve"> University</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65.1</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7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Orange Coast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65.3</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8 min</w:t>
            </w:r>
          </w:p>
        </w:tc>
      </w:tr>
      <w:tr w:rsidR="0044767C" w:rsidRPr="0044767C" w:rsidTr="0003584F">
        <w:trPr>
          <w:trHeight w:val="300"/>
          <w:jc w:val="center"/>
        </w:trPr>
        <w:tc>
          <w:tcPr>
            <w:tcW w:w="476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California Institute of Technology</w:t>
            </w:r>
          </w:p>
        </w:tc>
        <w:tc>
          <w:tcPr>
            <w:tcW w:w="3270" w:type="dxa"/>
            <w:shd w:val="clear" w:color="auto" w:fill="auto"/>
            <w:noWrap/>
            <w:vAlign w:val="bottom"/>
            <w:hideMark/>
          </w:tcPr>
          <w:p w:rsidR="0044767C" w:rsidRPr="0044767C" w:rsidRDefault="0044767C" w:rsidP="0044767C">
            <w:pPr>
              <w:spacing w:after="0" w:line="240" w:lineRule="auto"/>
              <w:contextualSpacing/>
              <w:jc w:val="both"/>
              <w:rPr>
                <w:rFonts w:asciiTheme="minorHAnsi" w:eastAsia="Times New Roman" w:hAnsiTheme="minorHAnsi" w:cs="Times New Roman"/>
              </w:rPr>
            </w:pPr>
            <w:r w:rsidRPr="0044767C">
              <w:rPr>
                <w:rFonts w:asciiTheme="minorHAnsi" w:eastAsia="Times New Roman" w:hAnsiTheme="minorHAnsi" w:cs="Times New Roman"/>
              </w:rPr>
              <w:t>Private 4-Year</w:t>
            </w:r>
          </w:p>
        </w:tc>
        <w:tc>
          <w:tcPr>
            <w:tcW w:w="104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67.1</w:t>
            </w:r>
          </w:p>
        </w:tc>
        <w:tc>
          <w:tcPr>
            <w:tcW w:w="1300" w:type="dxa"/>
            <w:shd w:val="clear" w:color="auto" w:fill="auto"/>
            <w:noWrap/>
            <w:vAlign w:val="bottom"/>
            <w:hideMark/>
          </w:tcPr>
          <w:p w:rsidR="0044767C" w:rsidRPr="0044767C" w:rsidRDefault="0044767C" w:rsidP="007A15B2">
            <w:pPr>
              <w:spacing w:after="0" w:line="240" w:lineRule="auto"/>
              <w:contextualSpacing/>
              <w:jc w:val="center"/>
              <w:rPr>
                <w:rFonts w:asciiTheme="minorHAnsi" w:eastAsia="Times New Roman" w:hAnsiTheme="minorHAnsi" w:cs="Times New Roman"/>
              </w:rPr>
            </w:pPr>
            <w:r w:rsidRPr="0044767C">
              <w:rPr>
                <w:rFonts w:asciiTheme="minorHAnsi" w:eastAsia="Times New Roman" w:hAnsiTheme="minorHAnsi" w:cs="Times New Roman"/>
              </w:rPr>
              <w:t>1 hr 14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Cerritos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68</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10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Golden West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68.4</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11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Saddleback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70.6</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9 min</w:t>
            </w:r>
          </w:p>
        </w:tc>
      </w:tr>
      <w:tr w:rsidR="0044767C" w:rsidRPr="0044767C" w:rsidTr="0003584F">
        <w:trPr>
          <w:trHeight w:val="300"/>
          <w:jc w:val="center"/>
        </w:trPr>
        <w:tc>
          <w:tcPr>
            <w:tcW w:w="476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Glendale Community College</w:t>
            </w:r>
          </w:p>
        </w:tc>
        <w:tc>
          <w:tcPr>
            <w:tcW w:w="3270" w:type="dxa"/>
            <w:shd w:val="clear" w:color="auto" w:fill="auto"/>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74.3</w:t>
            </w:r>
          </w:p>
        </w:tc>
        <w:tc>
          <w:tcPr>
            <w:tcW w:w="1300" w:type="dxa"/>
            <w:shd w:val="clear" w:color="auto" w:fill="auto"/>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10 min</w:t>
            </w:r>
          </w:p>
        </w:tc>
      </w:tr>
      <w:tr w:rsidR="0044767C" w:rsidRPr="0044767C" w:rsidTr="0003584F">
        <w:trPr>
          <w:trHeight w:val="300"/>
          <w:jc w:val="center"/>
        </w:trPr>
        <w:tc>
          <w:tcPr>
            <w:tcW w:w="4760" w:type="dxa"/>
            <w:shd w:val="clear" w:color="auto" w:fill="DBDBDB" w:themeFill="accent3" w:themeFillTint="66"/>
            <w:noWrap/>
            <w:vAlign w:val="bottom"/>
            <w:hideMark/>
          </w:tcPr>
          <w:p w:rsidR="0044767C" w:rsidRPr="00C518C7" w:rsidRDefault="004E5DFB" w:rsidP="004E5DFB">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 xml:space="preserve">East </w:t>
            </w:r>
            <w:r w:rsidR="0044767C" w:rsidRPr="00C518C7">
              <w:rPr>
                <w:rFonts w:asciiTheme="minorHAnsi" w:eastAsia="Times New Roman" w:hAnsiTheme="minorHAnsi" w:cs="Times New Roman"/>
                <w:color w:val="FF0000"/>
              </w:rPr>
              <w:t>Los Angeles College</w:t>
            </w:r>
          </w:p>
        </w:tc>
        <w:tc>
          <w:tcPr>
            <w:tcW w:w="3270" w:type="dxa"/>
            <w:shd w:val="clear" w:color="auto" w:fill="DBDBDB" w:themeFill="accent3" w:themeFillTint="66"/>
            <w:noWrap/>
            <w:vAlign w:val="bottom"/>
            <w:hideMark/>
          </w:tcPr>
          <w:p w:rsidR="0044767C" w:rsidRPr="00C518C7" w:rsidRDefault="0044767C" w:rsidP="0044767C">
            <w:pPr>
              <w:spacing w:after="0" w:line="240" w:lineRule="auto"/>
              <w:contextualSpacing/>
              <w:jc w:val="both"/>
              <w:rPr>
                <w:rFonts w:asciiTheme="minorHAnsi" w:eastAsia="Times New Roman" w:hAnsiTheme="minorHAnsi" w:cs="Times New Roman"/>
                <w:color w:val="FF0000"/>
              </w:rPr>
            </w:pPr>
            <w:r w:rsidRPr="00C518C7">
              <w:rPr>
                <w:rFonts w:asciiTheme="minorHAnsi" w:eastAsia="Times New Roman" w:hAnsiTheme="minorHAnsi" w:cs="Times New Roman"/>
                <w:color w:val="FF0000"/>
              </w:rPr>
              <w:t>Community College</w:t>
            </w:r>
          </w:p>
        </w:tc>
        <w:tc>
          <w:tcPr>
            <w:tcW w:w="104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75.7</w:t>
            </w:r>
          </w:p>
        </w:tc>
        <w:tc>
          <w:tcPr>
            <w:tcW w:w="1300" w:type="dxa"/>
            <w:shd w:val="clear" w:color="auto" w:fill="DBDBDB" w:themeFill="accent3" w:themeFillTint="66"/>
            <w:noWrap/>
            <w:vAlign w:val="bottom"/>
            <w:hideMark/>
          </w:tcPr>
          <w:p w:rsidR="0044767C" w:rsidRPr="00C518C7" w:rsidRDefault="0044767C" w:rsidP="007A15B2">
            <w:pPr>
              <w:spacing w:after="0" w:line="240" w:lineRule="auto"/>
              <w:contextualSpacing/>
              <w:jc w:val="center"/>
              <w:rPr>
                <w:rFonts w:asciiTheme="minorHAnsi" w:eastAsia="Times New Roman" w:hAnsiTheme="minorHAnsi" w:cs="Times New Roman"/>
                <w:color w:val="FF0000"/>
              </w:rPr>
            </w:pPr>
            <w:r w:rsidRPr="00C518C7">
              <w:rPr>
                <w:rFonts w:asciiTheme="minorHAnsi" w:eastAsia="Times New Roman" w:hAnsiTheme="minorHAnsi" w:cs="Times New Roman"/>
                <w:color w:val="FF0000"/>
              </w:rPr>
              <w:t>1 hr 12 min</w:t>
            </w:r>
          </w:p>
        </w:tc>
      </w:tr>
    </w:tbl>
    <w:p w:rsidR="0044767C" w:rsidRPr="0044767C" w:rsidRDefault="0044767C" w:rsidP="0044767C">
      <w:pPr>
        <w:contextualSpacing/>
        <w:jc w:val="both"/>
        <w:rPr>
          <w:rFonts w:asciiTheme="minorHAnsi" w:hAnsiTheme="minorHAnsi"/>
          <w:b/>
          <w:color w:val="008000"/>
        </w:rPr>
      </w:pPr>
    </w:p>
    <w:p w:rsidR="0044767C" w:rsidRPr="0044767C" w:rsidRDefault="0044767C" w:rsidP="0044767C">
      <w:pPr>
        <w:contextualSpacing/>
        <w:jc w:val="both"/>
        <w:rPr>
          <w:rFonts w:asciiTheme="minorHAnsi" w:hAnsiTheme="minorHAnsi"/>
          <w:b/>
          <w:color w:val="008000"/>
        </w:rPr>
      </w:pPr>
      <w:r w:rsidRPr="0044767C">
        <w:rPr>
          <w:rFonts w:asciiTheme="minorHAnsi" w:hAnsiTheme="minorHAnsi"/>
          <w:b/>
          <w:color w:val="008000"/>
        </w:rPr>
        <w:t>External Scan Findings</w:t>
      </w:r>
    </w:p>
    <w:p w:rsidR="0044767C" w:rsidRPr="0044767C" w:rsidRDefault="0044767C" w:rsidP="0044767C">
      <w:pPr>
        <w:contextualSpacing/>
        <w:jc w:val="both"/>
        <w:rPr>
          <w:rFonts w:asciiTheme="minorHAnsi" w:hAnsiTheme="minorHAnsi"/>
        </w:rPr>
      </w:pPr>
      <w:r w:rsidRPr="0044767C">
        <w:rPr>
          <w:rFonts w:asciiTheme="minorHAnsi" w:hAnsiTheme="minorHAnsi"/>
        </w:rPr>
        <w:t>Analysis of data regarding the external scan provides insight for making informed planning decisions. The following findings are derived from the external scan data presented in this chapter of the EMP:</w:t>
      </w:r>
    </w:p>
    <w:p w:rsidR="0044767C" w:rsidRPr="0044767C" w:rsidRDefault="0044767C" w:rsidP="0044767C">
      <w:pPr>
        <w:contextualSpacing/>
        <w:jc w:val="both"/>
        <w:rPr>
          <w:rFonts w:asciiTheme="minorHAnsi" w:hAnsiTheme="minorHAnsi"/>
        </w:rPr>
      </w:pPr>
    </w:p>
    <w:p w:rsidR="0044767C" w:rsidRPr="0044767C" w:rsidRDefault="0044767C" w:rsidP="00551094">
      <w:pPr>
        <w:spacing w:after="0" w:line="240" w:lineRule="auto"/>
        <w:contextualSpacing/>
        <w:jc w:val="both"/>
        <w:rPr>
          <w:rFonts w:asciiTheme="minorHAnsi" w:hAnsiTheme="minorHAnsi"/>
          <w:i/>
        </w:rPr>
      </w:pPr>
      <w:r w:rsidRPr="0044767C">
        <w:rPr>
          <w:rFonts w:asciiTheme="minorHAnsi" w:hAnsiTheme="minorHAnsi"/>
          <w:i/>
        </w:rPr>
        <w:t xml:space="preserve">Population </w:t>
      </w:r>
      <w:r w:rsidR="0069497E">
        <w:rPr>
          <w:rFonts w:asciiTheme="minorHAnsi" w:hAnsiTheme="minorHAnsi"/>
          <w:i/>
        </w:rPr>
        <w:t>Demographics</w:t>
      </w:r>
      <w:r w:rsidRPr="0044767C">
        <w:rPr>
          <w:rFonts w:asciiTheme="minorHAnsi" w:hAnsiTheme="minorHAnsi"/>
          <w:i/>
        </w:rPr>
        <w:t>:</w:t>
      </w:r>
    </w:p>
    <w:p w:rsidR="0044767C" w:rsidRPr="0044767C" w:rsidRDefault="0044767C" w:rsidP="00551094">
      <w:pPr>
        <w:pStyle w:val="ListParagraph"/>
        <w:numPr>
          <w:ilvl w:val="0"/>
          <w:numId w:val="50"/>
        </w:numPr>
        <w:spacing w:after="0" w:line="240" w:lineRule="auto"/>
        <w:jc w:val="both"/>
        <w:rPr>
          <w:rFonts w:asciiTheme="minorHAnsi" w:hAnsiTheme="minorHAnsi"/>
        </w:rPr>
      </w:pPr>
      <w:r w:rsidRPr="0044767C">
        <w:rPr>
          <w:rFonts w:asciiTheme="minorHAnsi" w:hAnsiTheme="minorHAnsi"/>
        </w:rPr>
        <w:t>From 2005 to 2015:</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Service area total population is estimated to have grown by 13% (113,686 persons)</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Regional area total population is estimated to have grown by 17.3% (669,696 persons)</w:t>
      </w:r>
    </w:p>
    <w:p w:rsidR="00551094" w:rsidRPr="00551094" w:rsidRDefault="00FB6DA3" w:rsidP="00551094">
      <w:pPr>
        <w:pStyle w:val="ListParagraph"/>
        <w:numPr>
          <w:ilvl w:val="1"/>
          <w:numId w:val="50"/>
        </w:numPr>
        <w:spacing w:after="120" w:line="240" w:lineRule="auto"/>
        <w:jc w:val="both"/>
        <w:rPr>
          <w:rFonts w:asciiTheme="minorHAnsi" w:hAnsiTheme="minorHAnsi"/>
        </w:rPr>
      </w:pPr>
      <w:r>
        <w:rPr>
          <w:rFonts w:asciiTheme="minorHAnsi" w:hAnsiTheme="minorHAnsi"/>
        </w:rPr>
        <w:t>State</w:t>
      </w:r>
      <w:r w:rsidR="0044767C" w:rsidRPr="0044767C">
        <w:rPr>
          <w:rFonts w:asciiTheme="minorHAnsi" w:hAnsiTheme="minorHAnsi"/>
        </w:rPr>
        <w:t xml:space="preserve"> total population is estimated to have grown by 9.1% (1,755,007 persons)</w:t>
      </w:r>
    </w:p>
    <w:p w:rsidR="00551094" w:rsidRDefault="00551094" w:rsidP="00551094">
      <w:pPr>
        <w:pStyle w:val="ListParagraph"/>
        <w:spacing w:after="120" w:line="240" w:lineRule="auto"/>
        <w:jc w:val="both"/>
        <w:rPr>
          <w:rFonts w:asciiTheme="minorHAnsi" w:hAnsiTheme="minorHAnsi"/>
        </w:rPr>
      </w:pPr>
    </w:p>
    <w:p w:rsidR="0044767C" w:rsidRPr="0044767C" w:rsidRDefault="0044767C" w:rsidP="00551094">
      <w:pPr>
        <w:pStyle w:val="ListParagraph"/>
        <w:numPr>
          <w:ilvl w:val="0"/>
          <w:numId w:val="50"/>
        </w:numPr>
        <w:spacing w:after="120" w:line="240" w:lineRule="auto"/>
        <w:jc w:val="both"/>
        <w:rPr>
          <w:rFonts w:asciiTheme="minorHAnsi" w:hAnsiTheme="minorHAnsi"/>
        </w:rPr>
      </w:pPr>
      <w:r w:rsidRPr="0044767C">
        <w:rPr>
          <w:rFonts w:asciiTheme="minorHAnsi" w:hAnsiTheme="minorHAnsi"/>
        </w:rPr>
        <w:t>From 2015 to 2025:</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Service area total population is projected to grow by 5.13% (50,687 persons)</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Regional area total population is projected to grow by 5.7% (318,658 persons)</w:t>
      </w:r>
    </w:p>
    <w:p w:rsidR="0044767C" w:rsidRPr="0044767C" w:rsidRDefault="00FB6DA3" w:rsidP="00551094">
      <w:pPr>
        <w:pStyle w:val="ListParagraph"/>
        <w:numPr>
          <w:ilvl w:val="1"/>
          <w:numId w:val="50"/>
        </w:numPr>
        <w:spacing w:after="0" w:line="240" w:lineRule="auto"/>
        <w:jc w:val="both"/>
        <w:rPr>
          <w:rFonts w:asciiTheme="minorHAnsi" w:hAnsiTheme="minorHAnsi"/>
        </w:rPr>
      </w:pPr>
      <w:r>
        <w:rPr>
          <w:rFonts w:asciiTheme="minorHAnsi" w:hAnsiTheme="minorHAnsi"/>
        </w:rPr>
        <w:t>State</w:t>
      </w:r>
      <w:r w:rsidR="0044767C" w:rsidRPr="0044767C">
        <w:rPr>
          <w:rFonts w:asciiTheme="minorHAnsi" w:hAnsiTheme="minorHAnsi"/>
        </w:rPr>
        <w:t xml:space="preserve"> total population is projected to grow by 3.7% (604,271 persons)</w:t>
      </w:r>
    </w:p>
    <w:p w:rsidR="0044767C" w:rsidRPr="0044767C" w:rsidRDefault="0044767C" w:rsidP="00551094">
      <w:pPr>
        <w:pStyle w:val="ListParagraph"/>
        <w:spacing w:after="0" w:line="240" w:lineRule="auto"/>
        <w:ind w:left="1440"/>
        <w:jc w:val="both"/>
        <w:rPr>
          <w:rFonts w:asciiTheme="minorHAnsi" w:hAnsiTheme="minorHAnsi"/>
        </w:rPr>
      </w:pPr>
    </w:p>
    <w:p w:rsidR="0044767C" w:rsidRPr="0044767C" w:rsidRDefault="0044767C" w:rsidP="00551094">
      <w:pPr>
        <w:pStyle w:val="ListParagraph"/>
        <w:numPr>
          <w:ilvl w:val="0"/>
          <w:numId w:val="50"/>
        </w:numPr>
        <w:spacing w:after="0" w:line="240" w:lineRule="auto"/>
        <w:jc w:val="both"/>
        <w:rPr>
          <w:rFonts w:asciiTheme="minorHAnsi" w:hAnsiTheme="minorHAnsi"/>
        </w:rPr>
      </w:pPr>
      <w:r w:rsidRPr="0044767C">
        <w:rPr>
          <w:rFonts w:asciiTheme="minorHAnsi" w:hAnsiTheme="minorHAnsi"/>
        </w:rPr>
        <w:t xml:space="preserve">Population projections suggest that between 2015 and 2025, the proportion of people in the 19 and under age group will increase by 0.8% within the service area </w:t>
      </w:r>
      <w:r w:rsidR="00551094">
        <w:rPr>
          <w:rFonts w:asciiTheme="minorHAnsi" w:hAnsiTheme="minorHAnsi"/>
        </w:rPr>
        <w:t xml:space="preserve">(2,427 persons) </w:t>
      </w:r>
      <w:r w:rsidRPr="0044767C">
        <w:rPr>
          <w:rFonts w:asciiTheme="minorHAnsi" w:hAnsiTheme="minorHAnsi"/>
        </w:rPr>
        <w:t>and 1.45% in the region</w:t>
      </w:r>
      <w:r w:rsidR="00551094">
        <w:rPr>
          <w:rFonts w:asciiTheme="minorHAnsi" w:hAnsiTheme="minorHAnsi"/>
        </w:rPr>
        <w:t xml:space="preserve"> (19,651 persons)</w:t>
      </w:r>
      <w:r w:rsidRPr="0044767C">
        <w:rPr>
          <w:rFonts w:asciiTheme="minorHAnsi" w:hAnsiTheme="minorHAnsi"/>
        </w:rPr>
        <w:t xml:space="preserve">, which is less than the projected 2.07% increase </w:t>
      </w:r>
      <w:r w:rsidR="00FB6DA3">
        <w:rPr>
          <w:rFonts w:asciiTheme="minorHAnsi" w:hAnsiTheme="minorHAnsi"/>
        </w:rPr>
        <w:t>State-wide</w:t>
      </w:r>
      <w:r w:rsidR="00551094">
        <w:rPr>
          <w:rFonts w:asciiTheme="minorHAnsi" w:hAnsiTheme="minorHAnsi"/>
        </w:rPr>
        <w:t xml:space="preserve"> (212,632 persons)</w:t>
      </w:r>
      <w:r w:rsidRPr="0044767C">
        <w:rPr>
          <w:rFonts w:asciiTheme="minorHAnsi" w:hAnsiTheme="minorHAnsi"/>
        </w:rPr>
        <w:t>.</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0"/>
        </w:numPr>
        <w:spacing w:after="0" w:line="240" w:lineRule="auto"/>
        <w:jc w:val="both"/>
        <w:rPr>
          <w:rFonts w:asciiTheme="minorHAnsi" w:hAnsiTheme="minorHAnsi"/>
        </w:rPr>
      </w:pPr>
      <w:r w:rsidRPr="0044767C">
        <w:rPr>
          <w:rFonts w:asciiTheme="minorHAnsi" w:hAnsiTheme="minorHAnsi"/>
        </w:rPr>
        <w:t xml:space="preserve">Between 2015 and 2025, population projections indicate that the proportion of people in the 20-24 age group will decrease by 22.04% in the service area population </w:t>
      </w:r>
      <w:r w:rsidR="00F35F0D">
        <w:rPr>
          <w:rFonts w:asciiTheme="minorHAnsi" w:hAnsiTheme="minorHAnsi"/>
        </w:rPr>
        <w:t xml:space="preserve">(-18,903 persons) </w:t>
      </w:r>
      <w:r w:rsidRPr="0044767C">
        <w:rPr>
          <w:rFonts w:asciiTheme="minorHAnsi" w:hAnsiTheme="minorHAnsi"/>
        </w:rPr>
        <w:t>and 20.23% in the regional population</w:t>
      </w:r>
      <w:r w:rsidR="00F35F0D">
        <w:rPr>
          <w:rFonts w:asciiTheme="minorHAnsi" w:hAnsiTheme="minorHAnsi"/>
        </w:rPr>
        <w:t xml:space="preserve"> (-76,153 persons)</w:t>
      </w:r>
      <w:r w:rsidRPr="0044767C">
        <w:rPr>
          <w:rFonts w:asciiTheme="minorHAnsi" w:hAnsiTheme="minorHAnsi"/>
        </w:rPr>
        <w:t xml:space="preserve">, both of which are larger than the projected 16.75% decrease expected </w:t>
      </w:r>
      <w:r w:rsidR="00FB6DA3">
        <w:rPr>
          <w:rFonts w:asciiTheme="minorHAnsi" w:hAnsiTheme="minorHAnsi"/>
        </w:rPr>
        <w:t>State</w:t>
      </w:r>
      <w:r w:rsidRPr="0044767C">
        <w:rPr>
          <w:rFonts w:asciiTheme="minorHAnsi" w:hAnsiTheme="minorHAnsi"/>
        </w:rPr>
        <w:t>wide</w:t>
      </w:r>
      <w:r w:rsidR="00F35F0D">
        <w:rPr>
          <w:rFonts w:asciiTheme="minorHAnsi" w:hAnsiTheme="minorHAnsi"/>
        </w:rPr>
        <w:t xml:space="preserve"> (-522,916 persons)</w:t>
      </w:r>
      <w:r w:rsidRPr="0044767C">
        <w:rPr>
          <w:rFonts w:asciiTheme="minorHAnsi" w:hAnsiTheme="minorHAnsi"/>
        </w:rPr>
        <w:t>.</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0"/>
        </w:numPr>
        <w:spacing w:after="0" w:line="240" w:lineRule="auto"/>
        <w:jc w:val="both"/>
        <w:rPr>
          <w:rFonts w:asciiTheme="minorHAnsi" w:hAnsiTheme="minorHAnsi"/>
        </w:rPr>
      </w:pPr>
      <w:r w:rsidRPr="0044767C">
        <w:rPr>
          <w:rFonts w:asciiTheme="minorHAnsi" w:hAnsiTheme="minorHAnsi"/>
        </w:rPr>
        <w:t xml:space="preserve">Population projections suggest that the proportion of people in the 50 and over age group will increase by 17.02% in the service area </w:t>
      </w:r>
      <w:r w:rsidR="00F35F0D">
        <w:rPr>
          <w:rFonts w:asciiTheme="minorHAnsi" w:hAnsiTheme="minorHAnsi"/>
        </w:rPr>
        <w:t xml:space="preserve">(46,496 persons) </w:t>
      </w:r>
      <w:r w:rsidRPr="0044767C">
        <w:rPr>
          <w:rFonts w:asciiTheme="minorHAnsi" w:hAnsiTheme="minorHAnsi"/>
        </w:rPr>
        <w:t>and 16.55% in the region</w:t>
      </w:r>
      <w:r w:rsidR="00F35F0D">
        <w:rPr>
          <w:rFonts w:asciiTheme="minorHAnsi" w:hAnsiTheme="minorHAnsi"/>
        </w:rPr>
        <w:t xml:space="preserve"> (216,825 </w:t>
      </w:r>
      <w:r w:rsidR="00F35F0D">
        <w:rPr>
          <w:rFonts w:asciiTheme="minorHAnsi" w:hAnsiTheme="minorHAnsi"/>
        </w:rPr>
        <w:lastRenderedPageBreak/>
        <w:t>persons)</w:t>
      </w:r>
      <w:r w:rsidRPr="0044767C">
        <w:rPr>
          <w:rFonts w:asciiTheme="minorHAnsi" w:hAnsiTheme="minorHAnsi"/>
        </w:rPr>
        <w:t xml:space="preserve"> by </w:t>
      </w:r>
      <w:r w:rsidR="00F35F0D">
        <w:rPr>
          <w:rFonts w:asciiTheme="minorHAnsi" w:hAnsiTheme="minorHAnsi"/>
        </w:rPr>
        <w:t xml:space="preserve">the year </w:t>
      </w:r>
      <w:r w:rsidRPr="0044767C">
        <w:rPr>
          <w:rFonts w:asciiTheme="minorHAnsi" w:hAnsiTheme="minorHAnsi"/>
        </w:rPr>
        <w:t>2025.</w:t>
      </w:r>
      <w:r w:rsidR="00F35F0D">
        <w:rPr>
          <w:rFonts w:asciiTheme="minorHAnsi" w:hAnsiTheme="minorHAnsi"/>
        </w:rPr>
        <w:t xml:space="preserve"> The projected increase for the</w:t>
      </w:r>
      <w:r w:rsidRPr="0044767C">
        <w:rPr>
          <w:rFonts w:asciiTheme="minorHAnsi" w:hAnsiTheme="minorHAnsi"/>
        </w:rPr>
        <w:t xml:space="preserve"> same age group in the </w:t>
      </w:r>
      <w:r w:rsidR="00FB6DA3">
        <w:rPr>
          <w:rFonts w:asciiTheme="minorHAnsi" w:hAnsiTheme="minorHAnsi"/>
        </w:rPr>
        <w:t>State</w:t>
      </w:r>
      <w:r w:rsidRPr="0044767C">
        <w:rPr>
          <w:rFonts w:asciiTheme="minorHAnsi" w:hAnsiTheme="minorHAnsi"/>
        </w:rPr>
        <w:t xml:space="preserve"> is 15.38%</w:t>
      </w:r>
      <w:r w:rsidR="00F35F0D">
        <w:rPr>
          <w:rFonts w:asciiTheme="minorHAnsi" w:hAnsiTheme="minorHAnsi"/>
        </w:rPr>
        <w:t xml:space="preserve"> (1,884,696 persons)</w:t>
      </w:r>
      <w:r w:rsidRPr="0044767C">
        <w:rPr>
          <w:rFonts w:asciiTheme="minorHAnsi" w:hAnsiTheme="minorHAnsi"/>
        </w:rPr>
        <w:t xml:space="preserve">. </w:t>
      </w:r>
    </w:p>
    <w:p w:rsidR="0044767C" w:rsidRDefault="0044767C" w:rsidP="00F9236A">
      <w:pPr>
        <w:spacing w:after="0" w:line="240" w:lineRule="auto"/>
        <w:jc w:val="both"/>
        <w:rPr>
          <w:rFonts w:asciiTheme="minorHAnsi" w:hAnsiTheme="minorHAnsi"/>
        </w:rPr>
      </w:pPr>
    </w:p>
    <w:p w:rsidR="0044767C" w:rsidRPr="0044767C" w:rsidRDefault="0069497E" w:rsidP="00551094">
      <w:pPr>
        <w:pStyle w:val="ListParagraph"/>
        <w:numPr>
          <w:ilvl w:val="0"/>
          <w:numId w:val="50"/>
        </w:numPr>
        <w:spacing w:after="0" w:line="240" w:lineRule="auto"/>
        <w:jc w:val="both"/>
        <w:rPr>
          <w:rFonts w:asciiTheme="minorHAnsi" w:hAnsiTheme="minorHAnsi"/>
        </w:rPr>
      </w:pPr>
      <w:r>
        <w:rPr>
          <w:rFonts w:asciiTheme="minorHAnsi" w:hAnsiTheme="minorHAnsi"/>
        </w:rPr>
        <w:t>By 2025, Hispanics</w:t>
      </w:r>
      <w:r w:rsidR="0044767C" w:rsidRPr="0044767C">
        <w:rPr>
          <w:rFonts w:asciiTheme="minorHAnsi" w:hAnsiTheme="minorHAnsi"/>
        </w:rPr>
        <w:t xml:space="preserve"> </w:t>
      </w:r>
      <w:r w:rsidR="00F35F0D">
        <w:rPr>
          <w:rFonts w:asciiTheme="minorHAnsi" w:hAnsiTheme="minorHAnsi"/>
        </w:rPr>
        <w:t>are expected to</w:t>
      </w:r>
      <w:r w:rsidR="0044767C" w:rsidRPr="0044767C">
        <w:rPr>
          <w:rFonts w:asciiTheme="minorHAnsi" w:hAnsiTheme="minorHAnsi"/>
        </w:rPr>
        <w:t xml:space="preserve"> </w:t>
      </w:r>
      <w:r>
        <w:rPr>
          <w:rFonts w:asciiTheme="minorHAnsi" w:hAnsiTheme="minorHAnsi"/>
        </w:rPr>
        <w:t>account for</w:t>
      </w:r>
      <w:r w:rsidR="0044767C" w:rsidRPr="0044767C">
        <w:rPr>
          <w:rFonts w:asciiTheme="minorHAnsi" w:hAnsiTheme="minorHAnsi"/>
        </w:rPr>
        <w:t>:</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56.79% of the service area population</w:t>
      </w:r>
      <w:r w:rsidR="00F9236A">
        <w:rPr>
          <w:rFonts w:asciiTheme="minorHAnsi" w:hAnsiTheme="minorHAnsi"/>
        </w:rPr>
        <w:t xml:space="preserve"> (594,718 persons)</w:t>
      </w:r>
    </w:p>
    <w:p w:rsidR="00F9236A" w:rsidRDefault="0044767C" w:rsidP="00F9236A">
      <w:pPr>
        <w:pStyle w:val="ListParagraph"/>
        <w:numPr>
          <w:ilvl w:val="1"/>
          <w:numId w:val="50"/>
        </w:numPr>
        <w:spacing w:after="0" w:line="240" w:lineRule="auto"/>
        <w:jc w:val="both"/>
        <w:rPr>
          <w:rFonts w:asciiTheme="minorHAnsi" w:hAnsiTheme="minorHAnsi"/>
        </w:rPr>
      </w:pPr>
      <w:r w:rsidRPr="0044767C">
        <w:rPr>
          <w:rFonts w:asciiTheme="minorHAnsi" w:hAnsiTheme="minorHAnsi"/>
        </w:rPr>
        <w:t>52.51% of the regional population</w:t>
      </w:r>
      <w:r w:rsidR="00F9236A">
        <w:rPr>
          <w:rFonts w:asciiTheme="minorHAnsi" w:hAnsiTheme="minorHAnsi"/>
        </w:rPr>
        <w:t xml:space="preserve"> (2,519,083 persons)</w:t>
      </w:r>
    </w:p>
    <w:p w:rsidR="0044767C" w:rsidRPr="00F9236A" w:rsidRDefault="0044767C" w:rsidP="00F9236A">
      <w:pPr>
        <w:pStyle w:val="ListParagraph"/>
        <w:numPr>
          <w:ilvl w:val="1"/>
          <w:numId w:val="50"/>
        </w:numPr>
        <w:spacing w:after="0" w:line="240" w:lineRule="auto"/>
        <w:jc w:val="both"/>
        <w:rPr>
          <w:rFonts w:asciiTheme="minorHAnsi" w:hAnsiTheme="minorHAnsi"/>
        </w:rPr>
      </w:pPr>
      <w:r w:rsidRPr="00F9236A">
        <w:rPr>
          <w:rFonts w:asciiTheme="minorHAnsi" w:hAnsiTheme="minorHAnsi"/>
        </w:rPr>
        <w:t xml:space="preserve">40.3% of the </w:t>
      </w:r>
      <w:r w:rsidR="00FB6DA3">
        <w:rPr>
          <w:rFonts w:asciiTheme="minorHAnsi" w:hAnsiTheme="minorHAnsi"/>
        </w:rPr>
        <w:t>State</w:t>
      </w:r>
      <w:r w:rsidRPr="00F9236A">
        <w:rPr>
          <w:rFonts w:asciiTheme="minorHAnsi" w:hAnsiTheme="minorHAnsi"/>
        </w:rPr>
        <w:t xml:space="preserve"> population</w:t>
      </w:r>
      <w:r w:rsidR="00F9236A" w:rsidRPr="00F9236A">
        <w:rPr>
          <w:rFonts w:asciiTheme="minorHAnsi" w:hAnsiTheme="minorHAnsi"/>
        </w:rPr>
        <w:t xml:space="preserve"> (16,555,395 persons)</w:t>
      </w:r>
    </w:p>
    <w:p w:rsidR="0044767C" w:rsidRPr="0044767C" w:rsidRDefault="0044767C" w:rsidP="00551094">
      <w:pPr>
        <w:pStyle w:val="ListParagraph"/>
        <w:spacing w:after="0" w:line="240" w:lineRule="auto"/>
        <w:ind w:left="1440"/>
        <w:jc w:val="both"/>
        <w:rPr>
          <w:rFonts w:asciiTheme="minorHAnsi" w:hAnsiTheme="minorHAnsi"/>
        </w:rPr>
      </w:pPr>
    </w:p>
    <w:p w:rsidR="0044767C" w:rsidRPr="0044767C" w:rsidRDefault="0069497E" w:rsidP="00551094">
      <w:pPr>
        <w:pStyle w:val="ListParagraph"/>
        <w:numPr>
          <w:ilvl w:val="0"/>
          <w:numId w:val="50"/>
        </w:numPr>
        <w:spacing w:after="0" w:line="240" w:lineRule="auto"/>
        <w:jc w:val="both"/>
        <w:rPr>
          <w:rFonts w:asciiTheme="minorHAnsi" w:hAnsiTheme="minorHAnsi"/>
        </w:rPr>
      </w:pPr>
      <w:r>
        <w:rPr>
          <w:rFonts w:asciiTheme="minorHAnsi" w:hAnsiTheme="minorHAnsi"/>
        </w:rPr>
        <w:t>By 2025, Caucasians are expected to</w:t>
      </w:r>
      <w:r w:rsidR="0044767C" w:rsidRPr="0044767C">
        <w:rPr>
          <w:rFonts w:asciiTheme="minorHAnsi" w:hAnsiTheme="minorHAnsi"/>
        </w:rPr>
        <w:t xml:space="preserve"> account for:</w:t>
      </w:r>
    </w:p>
    <w:p w:rsidR="0044767C" w:rsidRPr="0044767C" w:rsidRDefault="0069497E" w:rsidP="00551094">
      <w:pPr>
        <w:pStyle w:val="ListParagraph"/>
        <w:numPr>
          <w:ilvl w:val="1"/>
          <w:numId w:val="50"/>
        </w:numPr>
        <w:spacing w:after="0" w:line="240" w:lineRule="auto"/>
        <w:jc w:val="both"/>
        <w:rPr>
          <w:rFonts w:asciiTheme="minorHAnsi" w:hAnsiTheme="minorHAnsi"/>
        </w:rPr>
      </w:pPr>
      <w:r>
        <w:rPr>
          <w:rFonts w:asciiTheme="minorHAnsi" w:hAnsiTheme="minorHAnsi"/>
        </w:rPr>
        <w:t>24.76</w:t>
      </w:r>
      <w:r w:rsidR="0044767C" w:rsidRPr="0044767C">
        <w:rPr>
          <w:rFonts w:asciiTheme="minorHAnsi" w:hAnsiTheme="minorHAnsi"/>
        </w:rPr>
        <w:t>% of the service area population</w:t>
      </w:r>
      <w:r>
        <w:rPr>
          <w:rFonts w:asciiTheme="minorHAnsi" w:hAnsiTheme="minorHAnsi"/>
        </w:rPr>
        <w:t xml:space="preserve"> (259,315 persons)</w:t>
      </w:r>
    </w:p>
    <w:p w:rsidR="0044767C" w:rsidRPr="0044767C" w:rsidRDefault="0069497E" w:rsidP="00551094">
      <w:pPr>
        <w:pStyle w:val="ListParagraph"/>
        <w:numPr>
          <w:ilvl w:val="1"/>
          <w:numId w:val="50"/>
        </w:numPr>
        <w:spacing w:after="0" w:line="240" w:lineRule="auto"/>
        <w:jc w:val="both"/>
        <w:rPr>
          <w:rFonts w:asciiTheme="minorHAnsi" w:hAnsiTheme="minorHAnsi"/>
        </w:rPr>
      </w:pPr>
      <w:r>
        <w:rPr>
          <w:rFonts w:asciiTheme="minorHAnsi" w:hAnsiTheme="minorHAnsi"/>
        </w:rPr>
        <w:t>30.51</w:t>
      </w:r>
      <w:r w:rsidR="0044767C" w:rsidRPr="0044767C">
        <w:rPr>
          <w:rFonts w:asciiTheme="minorHAnsi" w:hAnsiTheme="minorHAnsi"/>
        </w:rPr>
        <w:t>% of the regional population</w:t>
      </w:r>
      <w:r>
        <w:rPr>
          <w:rFonts w:asciiTheme="minorHAnsi" w:hAnsiTheme="minorHAnsi"/>
        </w:rPr>
        <w:t xml:space="preserve"> (1,463,684 persons)</w:t>
      </w:r>
    </w:p>
    <w:p w:rsidR="0044767C" w:rsidRPr="0044767C" w:rsidRDefault="0069497E" w:rsidP="00551094">
      <w:pPr>
        <w:pStyle w:val="ListParagraph"/>
        <w:numPr>
          <w:ilvl w:val="1"/>
          <w:numId w:val="50"/>
        </w:numPr>
        <w:spacing w:after="0" w:line="240" w:lineRule="auto"/>
        <w:jc w:val="both"/>
        <w:rPr>
          <w:rFonts w:asciiTheme="minorHAnsi" w:hAnsiTheme="minorHAnsi"/>
        </w:rPr>
      </w:pPr>
      <w:r>
        <w:rPr>
          <w:rFonts w:asciiTheme="minorHAnsi" w:hAnsiTheme="minorHAnsi"/>
        </w:rPr>
        <w:t>35.71</w:t>
      </w:r>
      <w:r w:rsidR="0044767C" w:rsidRPr="0044767C">
        <w:rPr>
          <w:rFonts w:asciiTheme="minorHAnsi" w:hAnsiTheme="minorHAnsi"/>
        </w:rPr>
        <w:t xml:space="preserve">% of the </w:t>
      </w:r>
      <w:r w:rsidR="00FB6DA3">
        <w:rPr>
          <w:rFonts w:asciiTheme="minorHAnsi" w:hAnsiTheme="minorHAnsi"/>
        </w:rPr>
        <w:t>State</w:t>
      </w:r>
      <w:r w:rsidR="0044767C" w:rsidRPr="0044767C">
        <w:rPr>
          <w:rFonts w:asciiTheme="minorHAnsi" w:hAnsiTheme="minorHAnsi"/>
        </w:rPr>
        <w:t xml:space="preserve"> population</w:t>
      </w:r>
      <w:r>
        <w:rPr>
          <w:rFonts w:asciiTheme="minorHAnsi" w:hAnsiTheme="minorHAnsi"/>
        </w:rPr>
        <w:t xml:space="preserve"> (14,670,529 persons)</w:t>
      </w:r>
    </w:p>
    <w:p w:rsidR="0044767C" w:rsidRPr="0044767C" w:rsidRDefault="0044767C" w:rsidP="00551094">
      <w:pPr>
        <w:pStyle w:val="ListParagraph"/>
        <w:spacing w:after="0" w:line="240" w:lineRule="auto"/>
        <w:ind w:left="1440"/>
        <w:jc w:val="both"/>
        <w:rPr>
          <w:rFonts w:asciiTheme="minorHAnsi" w:hAnsiTheme="minorHAnsi"/>
        </w:rPr>
      </w:pPr>
    </w:p>
    <w:p w:rsidR="0044767C" w:rsidRPr="0044767C" w:rsidRDefault="0069497E" w:rsidP="00551094">
      <w:pPr>
        <w:pStyle w:val="ListParagraph"/>
        <w:numPr>
          <w:ilvl w:val="0"/>
          <w:numId w:val="50"/>
        </w:numPr>
        <w:spacing w:after="0" w:line="240" w:lineRule="auto"/>
        <w:jc w:val="both"/>
        <w:rPr>
          <w:rFonts w:asciiTheme="minorHAnsi" w:hAnsiTheme="minorHAnsi"/>
        </w:rPr>
      </w:pPr>
      <w:r>
        <w:rPr>
          <w:rFonts w:asciiTheme="minorHAnsi" w:hAnsiTheme="minorHAnsi"/>
        </w:rPr>
        <w:t>By 2025, African Americans are expected to</w:t>
      </w:r>
      <w:r w:rsidR="0044767C" w:rsidRPr="0044767C">
        <w:rPr>
          <w:rFonts w:asciiTheme="minorHAnsi" w:hAnsiTheme="minorHAnsi"/>
        </w:rPr>
        <w:t xml:space="preserve"> constitute:</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9.04% of the service area population</w:t>
      </w:r>
      <w:r w:rsidR="0069497E">
        <w:rPr>
          <w:rFonts w:asciiTheme="minorHAnsi" w:hAnsiTheme="minorHAnsi"/>
        </w:rPr>
        <w:t xml:space="preserve"> (94,626 persons)</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6.96% of the regional population</w:t>
      </w:r>
      <w:r w:rsidR="0069497E">
        <w:rPr>
          <w:rFonts w:asciiTheme="minorHAnsi" w:hAnsiTheme="minorHAnsi"/>
        </w:rPr>
        <w:t xml:space="preserve"> (333,696 persons)</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 xml:space="preserve">5.5% of the </w:t>
      </w:r>
      <w:r w:rsidR="00FB6DA3">
        <w:rPr>
          <w:rFonts w:asciiTheme="minorHAnsi" w:hAnsiTheme="minorHAnsi"/>
        </w:rPr>
        <w:t>State</w:t>
      </w:r>
      <w:r w:rsidRPr="0044767C">
        <w:rPr>
          <w:rFonts w:asciiTheme="minorHAnsi" w:hAnsiTheme="minorHAnsi"/>
        </w:rPr>
        <w:t xml:space="preserve"> population</w:t>
      </w:r>
      <w:r w:rsidR="0069497E">
        <w:rPr>
          <w:rFonts w:asciiTheme="minorHAnsi" w:hAnsiTheme="minorHAnsi"/>
        </w:rPr>
        <w:t xml:space="preserve"> (2,259,304 persons)</w:t>
      </w:r>
    </w:p>
    <w:p w:rsidR="0044767C" w:rsidRPr="0044767C" w:rsidRDefault="0044767C" w:rsidP="00551094">
      <w:pPr>
        <w:pStyle w:val="ListParagraph"/>
        <w:spacing w:after="0" w:line="240" w:lineRule="auto"/>
        <w:ind w:left="1440"/>
        <w:jc w:val="both"/>
        <w:rPr>
          <w:rFonts w:asciiTheme="minorHAnsi" w:hAnsiTheme="minorHAnsi"/>
        </w:rPr>
      </w:pPr>
    </w:p>
    <w:p w:rsidR="0044767C" w:rsidRPr="0044767C" w:rsidRDefault="0044767C" w:rsidP="00551094">
      <w:pPr>
        <w:pStyle w:val="ListParagraph"/>
        <w:numPr>
          <w:ilvl w:val="0"/>
          <w:numId w:val="50"/>
        </w:numPr>
        <w:spacing w:after="0" w:line="240" w:lineRule="auto"/>
        <w:jc w:val="both"/>
        <w:rPr>
          <w:rFonts w:asciiTheme="minorHAnsi" w:hAnsiTheme="minorHAnsi"/>
        </w:rPr>
      </w:pPr>
      <w:r w:rsidRPr="0044767C">
        <w:rPr>
          <w:rFonts w:asciiTheme="minorHAnsi" w:hAnsiTheme="minorHAnsi"/>
        </w:rPr>
        <w:t xml:space="preserve">By 2025, Asians </w:t>
      </w:r>
      <w:r w:rsidR="0069497E">
        <w:rPr>
          <w:rFonts w:asciiTheme="minorHAnsi" w:hAnsiTheme="minorHAnsi"/>
        </w:rPr>
        <w:t>are expected to</w:t>
      </w:r>
      <w:r w:rsidRPr="0044767C">
        <w:rPr>
          <w:rFonts w:asciiTheme="minorHAnsi" w:hAnsiTheme="minorHAnsi"/>
        </w:rPr>
        <w:t xml:space="preserve"> comprise</w:t>
      </w:r>
      <w:r w:rsidR="0069497E">
        <w:rPr>
          <w:rFonts w:asciiTheme="minorHAnsi" w:hAnsiTheme="minorHAnsi"/>
        </w:rPr>
        <w:t>:</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6.26% of the service area population</w:t>
      </w:r>
      <w:r w:rsidR="0069497E">
        <w:rPr>
          <w:rFonts w:asciiTheme="minorHAnsi" w:hAnsiTheme="minorHAnsi"/>
        </w:rPr>
        <w:t xml:space="preserve"> (65,527 persons)</w:t>
      </w:r>
    </w:p>
    <w:p w:rsidR="0044767C" w:rsidRPr="0044767C" w:rsidRDefault="0044767C" w:rsidP="00551094">
      <w:pPr>
        <w:pStyle w:val="ListParagraph"/>
        <w:numPr>
          <w:ilvl w:val="1"/>
          <w:numId w:val="50"/>
        </w:numPr>
        <w:spacing w:after="0" w:line="240" w:lineRule="auto"/>
        <w:jc w:val="both"/>
        <w:rPr>
          <w:rFonts w:asciiTheme="minorHAnsi" w:hAnsiTheme="minorHAnsi"/>
        </w:rPr>
      </w:pPr>
      <w:r w:rsidRPr="0044767C">
        <w:rPr>
          <w:rFonts w:asciiTheme="minorHAnsi" w:hAnsiTheme="minorHAnsi"/>
        </w:rPr>
        <w:t>6.99% of the regional population</w:t>
      </w:r>
      <w:r w:rsidR="0069497E">
        <w:rPr>
          <w:rFonts w:asciiTheme="minorHAnsi" w:hAnsiTheme="minorHAnsi"/>
        </w:rPr>
        <w:t xml:space="preserve"> (335,560 persons)</w:t>
      </w:r>
    </w:p>
    <w:p w:rsidR="00274F37" w:rsidRDefault="0044767C" w:rsidP="00274F37">
      <w:pPr>
        <w:pStyle w:val="ListParagraph"/>
        <w:numPr>
          <w:ilvl w:val="1"/>
          <w:numId w:val="50"/>
        </w:numPr>
        <w:spacing w:after="0" w:line="240" w:lineRule="auto"/>
        <w:jc w:val="both"/>
        <w:rPr>
          <w:rFonts w:asciiTheme="minorHAnsi" w:hAnsiTheme="minorHAnsi"/>
        </w:rPr>
      </w:pPr>
      <w:r w:rsidRPr="0044767C">
        <w:rPr>
          <w:rFonts w:asciiTheme="minorHAnsi" w:hAnsiTheme="minorHAnsi"/>
        </w:rPr>
        <w:t xml:space="preserve">14.85% of the </w:t>
      </w:r>
      <w:r w:rsidR="00FB6DA3">
        <w:rPr>
          <w:rFonts w:asciiTheme="minorHAnsi" w:hAnsiTheme="minorHAnsi"/>
        </w:rPr>
        <w:t>State</w:t>
      </w:r>
      <w:r w:rsidRPr="0044767C">
        <w:rPr>
          <w:rFonts w:asciiTheme="minorHAnsi" w:hAnsiTheme="minorHAnsi"/>
        </w:rPr>
        <w:t xml:space="preserve"> population</w:t>
      </w:r>
      <w:r w:rsidR="0069497E">
        <w:rPr>
          <w:rFonts w:asciiTheme="minorHAnsi" w:hAnsiTheme="minorHAnsi"/>
        </w:rPr>
        <w:t xml:space="preserve"> (6,101,547 persons)</w:t>
      </w:r>
    </w:p>
    <w:p w:rsidR="00274F37" w:rsidRDefault="00274F37" w:rsidP="00274F37">
      <w:pPr>
        <w:pStyle w:val="ListParagraph"/>
        <w:spacing w:after="0" w:line="240" w:lineRule="auto"/>
        <w:ind w:left="1440"/>
        <w:jc w:val="both"/>
        <w:rPr>
          <w:rFonts w:asciiTheme="minorHAnsi" w:hAnsiTheme="minorHAnsi"/>
        </w:rPr>
      </w:pPr>
    </w:p>
    <w:p w:rsidR="00274F37" w:rsidRPr="00274F37" w:rsidRDefault="00274F37" w:rsidP="00274F37">
      <w:pPr>
        <w:pStyle w:val="ListParagraph"/>
        <w:numPr>
          <w:ilvl w:val="0"/>
          <w:numId w:val="50"/>
        </w:numPr>
        <w:spacing w:after="0" w:line="240" w:lineRule="auto"/>
        <w:jc w:val="both"/>
        <w:rPr>
          <w:rFonts w:asciiTheme="minorHAnsi" w:hAnsiTheme="minorHAnsi"/>
        </w:rPr>
      </w:pPr>
      <w:r w:rsidRPr="00274F37">
        <w:rPr>
          <w:rFonts w:asciiTheme="minorHAnsi" w:hAnsiTheme="minorHAnsi"/>
        </w:rPr>
        <w:t xml:space="preserve">By 2025, the service area male population is projected to increase by 5.83% (28,309 persons) and the female population is projected to increase by 5.78% (29,124 persons). The number of males within the </w:t>
      </w:r>
      <w:r w:rsidR="00FB6DA3">
        <w:rPr>
          <w:rFonts w:asciiTheme="minorHAnsi" w:hAnsiTheme="minorHAnsi"/>
        </w:rPr>
        <w:t>State-wide</w:t>
      </w:r>
      <w:r w:rsidRPr="00274F37">
        <w:rPr>
          <w:rFonts w:asciiTheme="minorHAnsi" w:hAnsiTheme="minorHAnsi"/>
        </w:rPr>
        <w:t xml:space="preserve"> population is projected to increase by 4.8% (931,711 persons) and 5.4% for females (1,055,635 persons) during the same time period.</w:t>
      </w:r>
    </w:p>
    <w:p w:rsidR="0044767C" w:rsidRPr="0044767C" w:rsidRDefault="0044767C" w:rsidP="00551094">
      <w:pPr>
        <w:spacing w:after="0" w:line="240" w:lineRule="auto"/>
        <w:jc w:val="both"/>
        <w:rPr>
          <w:rFonts w:asciiTheme="minorHAnsi" w:hAnsiTheme="minorHAnsi"/>
        </w:rPr>
      </w:pPr>
    </w:p>
    <w:p w:rsidR="0044767C" w:rsidRPr="0044767C" w:rsidRDefault="0044767C" w:rsidP="00551094">
      <w:pPr>
        <w:spacing w:after="0" w:line="240" w:lineRule="auto"/>
        <w:contextualSpacing/>
        <w:jc w:val="both"/>
        <w:rPr>
          <w:rFonts w:asciiTheme="minorHAnsi" w:hAnsiTheme="minorHAnsi"/>
        </w:rPr>
      </w:pPr>
      <w:r w:rsidRPr="0044767C">
        <w:rPr>
          <w:rFonts w:asciiTheme="minorHAnsi" w:hAnsiTheme="minorHAnsi"/>
          <w:i/>
        </w:rPr>
        <w:t>Educational Attainment</w:t>
      </w:r>
    </w:p>
    <w:p w:rsidR="0044767C" w:rsidRPr="0044767C" w:rsidRDefault="00C654F4" w:rsidP="00551094">
      <w:pPr>
        <w:pStyle w:val="ListParagraph"/>
        <w:numPr>
          <w:ilvl w:val="0"/>
          <w:numId w:val="51"/>
        </w:numPr>
        <w:spacing w:after="0" w:line="240" w:lineRule="auto"/>
        <w:jc w:val="both"/>
        <w:rPr>
          <w:rFonts w:asciiTheme="minorHAnsi" w:hAnsiTheme="minorHAnsi"/>
        </w:rPr>
      </w:pPr>
      <w:r>
        <w:rPr>
          <w:rFonts w:asciiTheme="minorHAnsi" w:hAnsiTheme="minorHAnsi"/>
        </w:rPr>
        <w:t>49.</w:t>
      </w:r>
      <w:r w:rsidR="001B5114">
        <w:rPr>
          <w:rFonts w:asciiTheme="minorHAnsi" w:hAnsiTheme="minorHAnsi"/>
        </w:rPr>
        <w:t>8</w:t>
      </w:r>
      <w:r w:rsidR="0044767C" w:rsidRPr="0044767C">
        <w:rPr>
          <w:rFonts w:asciiTheme="minorHAnsi" w:hAnsiTheme="minorHAnsi"/>
        </w:rPr>
        <w:t xml:space="preserve">4% of the service area residents age 25 and older </w:t>
      </w:r>
      <w:r>
        <w:rPr>
          <w:rFonts w:asciiTheme="minorHAnsi" w:hAnsiTheme="minorHAnsi"/>
        </w:rPr>
        <w:t>do not have any higher education experience (</w:t>
      </w:r>
      <w:r w:rsidR="001B5114">
        <w:rPr>
          <w:rFonts w:asciiTheme="minorHAnsi" w:hAnsiTheme="minorHAnsi"/>
        </w:rPr>
        <w:t>293,711</w:t>
      </w:r>
      <w:r>
        <w:rPr>
          <w:rFonts w:asciiTheme="minorHAnsi" w:hAnsiTheme="minorHAnsi"/>
        </w:rPr>
        <w:t xml:space="preserve"> persons) while</w:t>
      </w:r>
      <w:r w:rsidR="0044767C" w:rsidRPr="0044767C">
        <w:rPr>
          <w:rFonts w:asciiTheme="minorHAnsi" w:hAnsiTheme="minorHAnsi"/>
        </w:rPr>
        <w:t xml:space="preserve"> 47.72% of regional residents age 25 and older do not have any higher education experience</w:t>
      </w:r>
      <w:r>
        <w:rPr>
          <w:rFonts w:asciiTheme="minorHAnsi" w:hAnsiTheme="minorHAnsi"/>
        </w:rPr>
        <w:t xml:space="preserve"> (1,271,594). T</w:t>
      </w:r>
      <w:r w:rsidR="0044767C" w:rsidRPr="0044767C">
        <w:rPr>
          <w:rFonts w:asciiTheme="minorHAnsi" w:hAnsiTheme="minorHAnsi"/>
        </w:rPr>
        <w:t xml:space="preserve">he </w:t>
      </w:r>
      <w:r w:rsidR="00FB6DA3">
        <w:rPr>
          <w:rFonts w:asciiTheme="minorHAnsi" w:hAnsiTheme="minorHAnsi"/>
        </w:rPr>
        <w:t>State-wide</w:t>
      </w:r>
      <w:r w:rsidR="0044767C" w:rsidRPr="0044767C">
        <w:rPr>
          <w:rFonts w:asciiTheme="minorHAnsi" w:hAnsiTheme="minorHAnsi"/>
        </w:rPr>
        <w:t xml:space="preserve"> average of </w:t>
      </w:r>
      <w:r>
        <w:rPr>
          <w:rFonts w:asciiTheme="minorHAnsi" w:hAnsiTheme="minorHAnsi"/>
        </w:rPr>
        <w:t xml:space="preserve">persons without any higher education experience is </w:t>
      </w:r>
      <w:r w:rsidR="0044767C" w:rsidRPr="0044767C">
        <w:rPr>
          <w:rFonts w:asciiTheme="minorHAnsi" w:hAnsiTheme="minorHAnsi"/>
        </w:rPr>
        <w:t>40.18%</w:t>
      </w:r>
      <w:r>
        <w:rPr>
          <w:rFonts w:asciiTheme="minorHAnsi" w:hAnsiTheme="minorHAnsi"/>
        </w:rPr>
        <w:t xml:space="preserve"> (9,954,719 persons)</w:t>
      </w:r>
      <w:r w:rsidR="0044767C" w:rsidRPr="0044767C">
        <w:rPr>
          <w:rFonts w:asciiTheme="minorHAnsi" w:hAnsiTheme="minorHAnsi"/>
        </w:rPr>
        <w:t>.</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1"/>
        </w:numPr>
        <w:spacing w:after="0" w:line="240" w:lineRule="auto"/>
        <w:jc w:val="both"/>
        <w:rPr>
          <w:rFonts w:asciiTheme="minorHAnsi" w:hAnsiTheme="minorHAnsi"/>
        </w:rPr>
      </w:pPr>
      <w:r w:rsidRPr="0044767C">
        <w:rPr>
          <w:rFonts w:asciiTheme="minorHAnsi" w:hAnsiTheme="minorHAnsi"/>
        </w:rPr>
        <w:t xml:space="preserve">The proportion of service area residents age 25 and older with a BA/BS degree is 11.31%, which is approximately 1.7 times less than that of the </w:t>
      </w:r>
      <w:r w:rsidR="00FB6DA3">
        <w:rPr>
          <w:rFonts w:asciiTheme="minorHAnsi" w:hAnsiTheme="minorHAnsi"/>
        </w:rPr>
        <w:t>State</w:t>
      </w:r>
      <w:r w:rsidRPr="0044767C">
        <w:rPr>
          <w:rFonts w:asciiTheme="minorHAnsi" w:hAnsiTheme="minorHAnsi"/>
        </w:rPr>
        <w:t>’s 19.2%. The proportion of the regional population age 25 and over with a BA/BS degree is 12.51%.</w:t>
      </w:r>
    </w:p>
    <w:p w:rsidR="0044767C" w:rsidRPr="0044767C" w:rsidRDefault="0044767C" w:rsidP="00551094">
      <w:pPr>
        <w:pStyle w:val="ListParagraph"/>
        <w:spacing w:after="0" w:line="240" w:lineRule="auto"/>
        <w:jc w:val="both"/>
        <w:rPr>
          <w:rFonts w:asciiTheme="minorHAnsi" w:hAnsiTheme="minorHAnsi"/>
        </w:rPr>
      </w:pPr>
    </w:p>
    <w:p w:rsidR="007D4BD4" w:rsidRDefault="0044767C" w:rsidP="007D4BD4">
      <w:pPr>
        <w:pStyle w:val="ListParagraph"/>
        <w:numPr>
          <w:ilvl w:val="0"/>
          <w:numId w:val="51"/>
        </w:numPr>
        <w:spacing w:after="0" w:line="240" w:lineRule="auto"/>
        <w:jc w:val="both"/>
        <w:rPr>
          <w:rFonts w:asciiTheme="minorHAnsi" w:hAnsiTheme="minorHAnsi"/>
        </w:rPr>
      </w:pPr>
      <w:r w:rsidRPr="0044767C">
        <w:rPr>
          <w:rFonts w:asciiTheme="minorHAnsi" w:hAnsiTheme="minorHAnsi"/>
        </w:rPr>
        <w:t xml:space="preserve">The average median income of the population age 25 and over in the service area ($33,687) and region ($33,851) is slightly less than the </w:t>
      </w:r>
      <w:r w:rsidR="00FB6DA3">
        <w:rPr>
          <w:rFonts w:asciiTheme="minorHAnsi" w:hAnsiTheme="minorHAnsi"/>
        </w:rPr>
        <w:t>State</w:t>
      </w:r>
      <w:r w:rsidRPr="0044767C">
        <w:rPr>
          <w:rFonts w:asciiTheme="minorHAnsi" w:hAnsiTheme="minorHAnsi"/>
        </w:rPr>
        <w:t xml:space="preserve"> median of $37,170.</w:t>
      </w:r>
    </w:p>
    <w:p w:rsidR="007D4BD4" w:rsidRPr="007D4BD4" w:rsidRDefault="007D4BD4" w:rsidP="007D4BD4">
      <w:pPr>
        <w:pStyle w:val="ListParagraph"/>
        <w:rPr>
          <w:rFonts w:asciiTheme="minorHAnsi" w:hAnsiTheme="minorHAnsi"/>
        </w:rPr>
      </w:pPr>
    </w:p>
    <w:p w:rsidR="007D4BD4" w:rsidRPr="007D4BD4" w:rsidRDefault="007D4BD4" w:rsidP="007D4BD4">
      <w:pPr>
        <w:pStyle w:val="ListParagraph"/>
        <w:numPr>
          <w:ilvl w:val="0"/>
          <w:numId w:val="51"/>
        </w:numPr>
        <w:spacing w:after="0" w:line="240" w:lineRule="auto"/>
        <w:jc w:val="both"/>
        <w:rPr>
          <w:rFonts w:asciiTheme="minorHAnsi" w:hAnsiTheme="minorHAnsi"/>
        </w:rPr>
      </w:pPr>
      <w:r w:rsidRPr="007D4BD4">
        <w:rPr>
          <w:rFonts w:asciiTheme="minorHAnsi" w:hAnsiTheme="minorHAnsi"/>
        </w:rPr>
        <w:t xml:space="preserve">Service area and regional residents with a high school diploma/equivalent or less have a median income that is greater than the </w:t>
      </w:r>
      <w:r w:rsidR="00FB6DA3">
        <w:rPr>
          <w:rFonts w:asciiTheme="minorHAnsi" w:hAnsiTheme="minorHAnsi"/>
        </w:rPr>
        <w:t>State-wide</w:t>
      </w:r>
      <w:r w:rsidRPr="007D4BD4">
        <w:rPr>
          <w:rFonts w:asciiTheme="minorHAnsi" w:hAnsiTheme="minorHAnsi"/>
        </w:rPr>
        <w:t xml:space="preserve"> average. Conversely, service area and regional residents with a BA/BS degree or higher have a median income that is less than the </w:t>
      </w:r>
      <w:r w:rsidR="00FB6DA3">
        <w:rPr>
          <w:rFonts w:asciiTheme="minorHAnsi" w:hAnsiTheme="minorHAnsi"/>
        </w:rPr>
        <w:t>State-wide</w:t>
      </w:r>
      <w:r w:rsidRPr="007D4BD4">
        <w:rPr>
          <w:rFonts w:asciiTheme="minorHAnsi" w:hAnsiTheme="minorHAnsi"/>
        </w:rPr>
        <w:t xml:space="preserve"> average.  This dynamic may be correlated to the make-up and availability of blue collar jobs in the area. </w:t>
      </w:r>
    </w:p>
    <w:p w:rsidR="007D4BD4" w:rsidRDefault="007D4BD4" w:rsidP="00551094">
      <w:pPr>
        <w:spacing w:after="0" w:line="240" w:lineRule="auto"/>
        <w:contextualSpacing/>
        <w:jc w:val="both"/>
        <w:rPr>
          <w:rFonts w:asciiTheme="minorHAnsi" w:hAnsiTheme="minorHAnsi"/>
          <w:i/>
        </w:rPr>
      </w:pPr>
    </w:p>
    <w:p w:rsidR="0044767C" w:rsidRPr="0044767C" w:rsidRDefault="0044767C" w:rsidP="00551094">
      <w:pPr>
        <w:spacing w:after="0" w:line="240" w:lineRule="auto"/>
        <w:contextualSpacing/>
        <w:jc w:val="both"/>
        <w:rPr>
          <w:rFonts w:asciiTheme="minorHAnsi" w:hAnsiTheme="minorHAnsi"/>
        </w:rPr>
      </w:pPr>
      <w:r w:rsidRPr="0044767C">
        <w:rPr>
          <w:rFonts w:asciiTheme="minorHAnsi" w:hAnsiTheme="minorHAnsi"/>
          <w:i/>
        </w:rPr>
        <w:lastRenderedPageBreak/>
        <w:t>Household Size, Income &amp; Poverty</w:t>
      </w:r>
    </w:p>
    <w:p w:rsidR="0044767C" w:rsidRPr="0044767C" w:rsidRDefault="00A465D8" w:rsidP="00551094">
      <w:pPr>
        <w:pStyle w:val="ListParagraph"/>
        <w:numPr>
          <w:ilvl w:val="0"/>
          <w:numId w:val="52"/>
        </w:numPr>
        <w:spacing w:after="0" w:line="240" w:lineRule="auto"/>
        <w:jc w:val="both"/>
        <w:rPr>
          <w:rFonts w:asciiTheme="minorHAnsi" w:hAnsiTheme="minorHAnsi"/>
        </w:rPr>
      </w:pPr>
      <w:r>
        <w:rPr>
          <w:rFonts w:asciiTheme="minorHAnsi" w:hAnsiTheme="minorHAnsi"/>
        </w:rPr>
        <w:t>T</w:t>
      </w:r>
      <w:r w:rsidR="0044767C" w:rsidRPr="0044767C">
        <w:rPr>
          <w:rFonts w:asciiTheme="minorHAnsi" w:hAnsiTheme="minorHAnsi"/>
        </w:rPr>
        <w:t>he average household size in t</w:t>
      </w:r>
      <w:r>
        <w:rPr>
          <w:rFonts w:asciiTheme="minorHAnsi" w:hAnsiTheme="minorHAnsi"/>
        </w:rPr>
        <w:t>he service area is 2.96 persons</w:t>
      </w:r>
      <w:r w:rsidR="0044767C" w:rsidRPr="0044767C">
        <w:rPr>
          <w:rFonts w:asciiTheme="minorHAnsi" w:hAnsiTheme="minorHAnsi"/>
        </w:rPr>
        <w:t xml:space="preserve"> and 2.92 persons</w:t>
      </w:r>
      <w:r>
        <w:rPr>
          <w:rFonts w:asciiTheme="minorHAnsi" w:hAnsiTheme="minorHAnsi"/>
        </w:rPr>
        <w:t xml:space="preserve"> in the region</w:t>
      </w:r>
      <w:r w:rsidR="0044767C" w:rsidRPr="0044767C">
        <w:rPr>
          <w:rFonts w:asciiTheme="minorHAnsi" w:hAnsiTheme="minorHAnsi"/>
        </w:rPr>
        <w:t>, both of which are</w:t>
      </w:r>
      <w:r>
        <w:rPr>
          <w:rFonts w:asciiTheme="minorHAnsi" w:hAnsiTheme="minorHAnsi"/>
        </w:rPr>
        <w:t xml:space="preserve"> slightly</w:t>
      </w:r>
      <w:r w:rsidR="0044767C" w:rsidRPr="0044767C">
        <w:rPr>
          <w:rFonts w:asciiTheme="minorHAnsi" w:hAnsiTheme="minorHAnsi"/>
        </w:rPr>
        <w:t xml:space="preserve"> higher than the </w:t>
      </w:r>
      <w:r w:rsidR="00FB6DA3">
        <w:rPr>
          <w:rFonts w:asciiTheme="minorHAnsi" w:hAnsiTheme="minorHAnsi"/>
        </w:rPr>
        <w:t>State</w:t>
      </w:r>
      <w:r w:rsidR="0044767C" w:rsidRPr="0044767C">
        <w:rPr>
          <w:rFonts w:asciiTheme="minorHAnsi" w:hAnsiTheme="minorHAnsi"/>
        </w:rPr>
        <w:t>’s average of 2.76 persons.</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03584F" w:rsidP="00551094">
      <w:pPr>
        <w:pStyle w:val="ListParagraph"/>
        <w:numPr>
          <w:ilvl w:val="0"/>
          <w:numId w:val="52"/>
        </w:numPr>
        <w:spacing w:after="0" w:line="240" w:lineRule="auto"/>
        <w:jc w:val="both"/>
        <w:rPr>
          <w:rFonts w:asciiTheme="minorHAnsi" w:hAnsiTheme="minorHAnsi"/>
        </w:rPr>
      </w:pPr>
      <w:r>
        <w:rPr>
          <w:rFonts w:asciiTheme="minorHAnsi" w:hAnsiTheme="minorHAnsi"/>
        </w:rPr>
        <w:t>M</w:t>
      </w:r>
      <w:r w:rsidR="0044767C" w:rsidRPr="0044767C">
        <w:rPr>
          <w:rFonts w:asciiTheme="minorHAnsi" w:hAnsiTheme="minorHAnsi"/>
        </w:rPr>
        <w:t xml:space="preserve">edian household income in the service area is $54,059.32, as compared to $55,346 </w:t>
      </w:r>
      <w:r w:rsidR="00A465D8">
        <w:rPr>
          <w:rFonts w:asciiTheme="minorHAnsi" w:hAnsiTheme="minorHAnsi"/>
        </w:rPr>
        <w:t xml:space="preserve">in the region, </w:t>
      </w:r>
      <w:r w:rsidR="0044767C" w:rsidRPr="0044767C">
        <w:rPr>
          <w:rFonts w:asciiTheme="minorHAnsi" w:hAnsiTheme="minorHAnsi"/>
        </w:rPr>
        <w:t>an</w:t>
      </w:r>
      <w:r w:rsidR="00A465D8">
        <w:rPr>
          <w:rFonts w:asciiTheme="minorHAnsi" w:hAnsiTheme="minorHAnsi"/>
        </w:rPr>
        <w:t>d</w:t>
      </w:r>
      <w:r w:rsidR="0044767C" w:rsidRPr="0044767C">
        <w:rPr>
          <w:rFonts w:asciiTheme="minorHAnsi" w:hAnsiTheme="minorHAnsi"/>
        </w:rPr>
        <w:t xml:space="preserve"> $61,489</w:t>
      </w:r>
      <w:r w:rsidR="00A465D8">
        <w:rPr>
          <w:rFonts w:asciiTheme="minorHAnsi" w:hAnsiTheme="minorHAnsi"/>
        </w:rPr>
        <w:t xml:space="preserve"> within the </w:t>
      </w:r>
      <w:r w:rsidR="00FB6DA3">
        <w:rPr>
          <w:rFonts w:asciiTheme="minorHAnsi" w:hAnsiTheme="minorHAnsi"/>
        </w:rPr>
        <w:t>State</w:t>
      </w:r>
      <w:r w:rsidR="0044767C" w:rsidRPr="0044767C">
        <w:rPr>
          <w:rFonts w:asciiTheme="minorHAnsi" w:hAnsiTheme="minorHAnsi"/>
        </w:rPr>
        <w:t>.</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03584F" w:rsidP="00551094">
      <w:pPr>
        <w:pStyle w:val="ListParagraph"/>
        <w:numPr>
          <w:ilvl w:val="0"/>
          <w:numId w:val="52"/>
        </w:numPr>
        <w:spacing w:after="0" w:line="240" w:lineRule="auto"/>
        <w:jc w:val="both"/>
        <w:rPr>
          <w:rFonts w:asciiTheme="minorHAnsi" w:hAnsiTheme="minorHAnsi"/>
        </w:rPr>
      </w:pPr>
      <w:r>
        <w:rPr>
          <w:rFonts w:asciiTheme="minorHAnsi" w:hAnsiTheme="minorHAnsi"/>
        </w:rPr>
        <w:t>P</w:t>
      </w:r>
      <w:r w:rsidR="0044767C" w:rsidRPr="0044767C">
        <w:rPr>
          <w:rFonts w:asciiTheme="minorHAnsi" w:hAnsiTheme="minorHAnsi"/>
        </w:rPr>
        <w:t>er capita income</w:t>
      </w:r>
      <w:r w:rsidR="00A465D8">
        <w:rPr>
          <w:rFonts w:asciiTheme="minorHAnsi" w:hAnsiTheme="minorHAnsi"/>
        </w:rPr>
        <w:t xml:space="preserve"> in the service area is $22,525</w:t>
      </w:r>
      <w:r w:rsidR="0044767C" w:rsidRPr="0044767C">
        <w:rPr>
          <w:rFonts w:asciiTheme="minorHAnsi" w:hAnsiTheme="minorHAnsi"/>
        </w:rPr>
        <w:t xml:space="preserve"> </w:t>
      </w:r>
      <w:r w:rsidR="00A465D8">
        <w:rPr>
          <w:rFonts w:asciiTheme="minorHAnsi" w:hAnsiTheme="minorHAnsi"/>
        </w:rPr>
        <w:t xml:space="preserve">and </w:t>
      </w:r>
      <w:r w:rsidR="0044767C" w:rsidRPr="0044767C">
        <w:rPr>
          <w:rFonts w:asciiTheme="minorHAnsi" w:hAnsiTheme="minorHAnsi"/>
        </w:rPr>
        <w:t xml:space="preserve">$22,522 </w:t>
      </w:r>
      <w:r w:rsidR="00A465D8">
        <w:rPr>
          <w:rFonts w:asciiTheme="minorHAnsi" w:hAnsiTheme="minorHAnsi"/>
        </w:rPr>
        <w:t xml:space="preserve">in the region, while </w:t>
      </w:r>
      <w:r w:rsidR="0044767C" w:rsidRPr="0044767C">
        <w:rPr>
          <w:rFonts w:asciiTheme="minorHAnsi" w:hAnsiTheme="minorHAnsi"/>
        </w:rPr>
        <w:t xml:space="preserve">per capita income in the </w:t>
      </w:r>
      <w:r w:rsidR="00FB6DA3">
        <w:rPr>
          <w:rFonts w:asciiTheme="minorHAnsi" w:hAnsiTheme="minorHAnsi"/>
        </w:rPr>
        <w:t>State</w:t>
      </w:r>
      <w:r w:rsidR="0044767C" w:rsidRPr="0044767C">
        <w:rPr>
          <w:rFonts w:asciiTheme="minorHAnsi" w:hAnsiTheme="minorHAnsi"/>
        </w:rPr>
        <w:t xml:space="preserve"> is $29,906.</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2"/>
        </w:numPr>
        <w:spacing w:after="0" w:line="240" w:lineRule="auto"/>
        <w:jc w:val="both"/>
        <w:rPr>
          <w:rFonts w:asciiTheme="minorHAnsi" w:hAnsiTheme="minorHAnsi"/>
        </w:rPr>
      </w:pPr>
      <w:r w:rsidRPr="0044767C">
        <w:rPr>
          <w:rFonts w:asciiTheme="minorHAnsi" w:hAnsiTheme="minorHAnsi"/>
        </w:rPr>
        <w:t xml:space="preserve">The percentage of families below the poverty line in the service area is 15.27%. The percentage of families below the poverty line in the region is 14.1% and 12.3% in the </w:t>
      </w:r>
      <w:r w:rsidR="00FB6DA3">
        <w:rPr>
          <w:rFonts w:asciiTheme="minorHAnsi" w:hAnsiTheme="minorHAnsi"/>
        </w:rPr>
        <w:t>State</w:t>
      </w:r>
      <w:r w:rsidRPr="0044767C">
        <w:rPr>
          <w:rFonts w:asciiTheme="minorHAnsi" w:hAnsiTheme="minorHAnsi"/>
        </w:rPr>
        <w:t>.</w:t>
      </w:r>
    </w:p>
    <w:p w:rsidR="007D4BD4" w:rsidRDefault="007D4BD4" w:rsidP="00551094">
      <w:pPr>
        <w:spacing w:after="0" w:line="240" w:lineRule="auto"/>
        <w:contextualSpacing/>
        <w:jc w:val="both"/>
        <w:rPr>
          <w:rFonts w:asciiTheme="minorHAnsi" w:hAnsiTheme="minorHAnsi"/>
          <w:i/>
        </w:rPr>
      </w:pPr>
    </w:p>
    <w:p w:rsidR="0044767C" w:rsidRPr="0044767C" w:rsidRDefault="0044767C" w:rsidP="00551094">
      <w:pPr>
        <w:spacing w:after="0" w:line="240" w:lineRule="auto"/>
        <w:contextualSpacing/>
        <w:jc w:val="both"/>
        <w:rPr>
          <w:rFonts w:asciiTheme="minorHAnsi" w:hAnsiTheme="minorHAnsi"/>
        </w:rPr>
      </w:pPr>
      <w:r w:rsidRPr="0044767C">
        <w:rPr>
          <w:rFonts w:asciiTheme="minorHAnsi" w:hAnsiTheme="minorHAnsi"/>
          <w:i/>
        </w:rPr>
        <w:t>Service Area High Schools</w:t>
      </w:r>
    </w:p>
    <w:p w:rsidR="0044767C" w:rsidRPr="0044767C" w:rsidRDefault="0044767C" w:rsidP="00551094">
      <w:pPr>
        <w:pStyle w:val="ListParagraph"/>
        <w:numPr>
          <w:ilvl w:val="0"/>
          <w:numId w:val="53"/>
        </w:numPr>
        <w:spacing w:after="0" w:line="240" w:lineRule="auto"/>
        <w:jc w:val="both"/>
        <w:rPr>
          <w:rFonts w:asciiTheme="minorHAnsi" w:hAnsiTheme="minorHAnsi"/>
        </w:rPr>
      </w:pPr>
      <w:r w:rsidRPr="0044767C">
        <w:rPr>
          <w:rFonts w:asciiTheme="minorHAnsi" w:hAnsiTheme="minorHAnsi"/>
        </w:rPr>
        <w:t xml:space="preserve">In the 2014-15 academic </w:t>
      </w:r>
      <w:proofErr w:type="gramStart"/>
      <w:r w:rsidRPr="0044767C">
        <w:rPr>
          <w:rFonts w:asciiTheme="minorHAnsi" w:hAnsiTheme="minorHAnsi"/>
        </w:rPr>
        <w:t>year</w:t>
      </w:r>
      <w:proofErr w:type="gramEnd"/>
      <w:r w:rsidRPr="0044767C">
        <w:rPr>
          <w:rFonts w:asciiTheme="minorHAnsi" w:hAnsiTheme="minorHAnsi"/>
        </w:rPr>
        <w:t xml:space="preserve">, Redlands Senior High produced the most proficient students, with 77% and 45% of students having either met or exceeded </w:t>
      </w:r>
      <w:r w:rsidR="00A465D8">
        <w:rPr>
          <w:rFonts w:asciiTheme="minorHAnsi" w:hAnsiTheme="minorHAnsi"/>
        </w:rPr>
        <w:t>CAASPP</w:t>
      </w:r>
      <w:r w:rsidRPr="0044767C">
        <w:rPr>
          <w:rFonts w:asciiTheme="minorHAnsi" w:hAnsiTheme="minorHAnsi"/>
        </w:rPr>
        <w:t xml:space="preserve"> standards for English and math</w:t>
      </w:r>
      <w:r w:rsidR="00A465D8">
        <w:rPr>
          <w:rFonts w:asciiTheme="minorHAnsi" w:hAnsiTheme="minorHAnsi"/>
        </w:rPr>
        <w:t>,</w:t>
      </w:r>
      <w:r w:rsidRPr="0044767C">
        <w:rPr>
          <w:rFonts w:asciiTheme="minorHAnsi" w:hAnsiTheme="minorHAnsi"/>
        </w:rPr>
        <w:t xml:space="preserve"> respectively. The next most proficient students were from Citrus Valley High, with 69% and 37% of students having met or exceeded the standards for English and math</w:t>
      </w:r>
      <w:r w:rsidR="00A465D8">
        <w:rPr>
          <w:rFonts w:asciiTheme="minorHAnsi" w:hAnsiTheme="minorHAnsi"/>
        </w:rPr>
        <w:t>,</w:t>
      </w:r>
      <w:r w:rsidRPr="0044767C">
        <w:rPr>
          <w:rFonts w:asciiTheme="minorHAnsi" w:hAnsiTheme="minorHAnsi"/>
        </w:rPr>
        <w:t xml:space="preserve"> respectively. The least proficient high school was Orangewood High Continuation, with 12% and 1% of students having either met or exceeded the standards for English and math</w:t>
      </w:r>
      <w:r w:rsidR="00A465D8">
        <w:rPr>
          <w:rFonts w:asciiTheme="minorHAnsi" w:hAnsiTheme="minorHAnsi"/>
        </w:rPr>
        <w:t>,</w:t>
      </w:r>
      <w:r w:rsidRPr="0044767C">
        <w:rPr>
          <w:rFonts w:asciiTheme="minorHAnsi" w:hAnsiTheme="minorHAnsi"/>
        </w:rPr>
        <w:t xml:space="preserve"> respectively.</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3"/>
        </w:numPr>
        <w:spacing w:after="0" w:line="240" w:lineRule="auto"/>
        <w:jc w:val="both"/>
        <w:rPr>
          <w:rFonts w:asciiTheme="minorHAnsi" w:hAnsiTheme="minorHAnsi"/>
        </w:rPr>
      </w:pPr>
      <w:r w:rsidRPr="0044767C">
        <w:rPr>
          <w:rFonts w:asciiTheme="minorHAnsi" w:hAnsiTheme="minorHAnsi"/>
        </w:rPr>
        <w:t xml:space="preserve">In the 2014-15 academic </w:t>
      </w:r>
      <w:proofErr w:type="gramStart"/>
      <w:r w:rsidRPr="0044767C">
        <w:rPr>
          <w:rFonts w:asciiTheme="minorHAnsi" w:hAnsiTheme="minorHAnsi"/>
        </w:rPr>
        <w:t>year</w:t>
      </w:r>
      <w:proofErr w:type="gramEnd"/>
      <w:r w:rsidRPr="0044767C">
        <w:rPr>
          <w:rFonts w:asciiTheme="minorHAnsi" w:hAnsiTheme="minorHAnsi"/>
        </w:rPr>
        <w:t xml:space="preserve">, the average percentage of students from the top ten feeder high schools who either met or exceeded the CAASPP standards for English was 51%, which is 7% higher than the </w:t>
      </w:r>
      <w:r w:rsidR="00FB6DA3">
        <w:rPr>
          <w:rFonts w:asciiTheme="minorHAnsi" w:hAnsiTheme="minorHAnsi"/>
        </w:rPr>
        <w:t>State</w:t>
      </w:r>
      <w:r w:rsidRPr="0044767C">
        <w:rPr>
          <w:rFonts w:asciiTheme="minorHAnsi" w:hAnsiTheme="minorHAnsi"/>
        </w:rPr>
        <w:t xml:space="preserve"> average of 44%.</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pStyle w:val="ListParagraph"/>
        <w:numPr>
          <w:ilvl w:val="0"/>
          <w:numId w:val="53"/>
        </w:numPr>
        <w:spacing w:after="0" w:line="240" w:lineRule="auto"/>
        <w:jc w:val="both"/>
        <w:rPr>
          <w:rFonts w:asciiTheme="minorHAnsi" w:hAnsiTheme="minorHAnsi"/>
        </w:rPr>
      </w:pPr>
      <w:r w:rsidRPr="0044767C">
        <w:rPr>
          <w:rFonts w:asciiTheme="minorHAnsi" w:hAnsiTheme="minorHAnsi"/>
        </w:rPr>
        <w:t xml:space="preserve">In the 2014-15 academic </w:t>
      </w:r>
      <w:proofErr w:type="gramStart"/>
      <w:r w:rsidRPr="0044767C">
        <w:rPr>
          <w:rFonts w:asciiTheme="minorHAnsi" w:hAnsiTheme="minorHAnsi"/>
        </w:rPr>
        <w:t>year</w:t>
      </w:r>
      <w:proofErr w:type="gramEnd"/>
      <w:r w:rsidRPr="0044767C">
        <w:rPr>
          <w:rFonts w:asciiTheme="minorHAnsi" w:hAnsiTheme="minorHAnsi"/>
        </w:rPr>
        <w:t xml:space="preserve">, the average percentage of students from the top ten feeder high schools who either met or exceeded the CAASPP standards for math was 22%, which is 11% lower than the </w:t>
      </w:r>
      <w:r w:rsidR="00FB6DA3">
        <w:rPr>
          <w:rFonts w:asciiTheme="minorHAnsi" w:hAnsiTheme="minorHAnsi"/>
        </w:rPr>
        <w:t>State</w:t>
      </w:r>
      <w:r w:rsidRPr="0044767C">
        <w:rPr>
          <w:rFonts w:asciiTheme="minorHAnsi" w:hAnsiTheme="minorHAnsi"/>
        </w:rPr>
        <w:t xml:space="preserve"> average of 33%.</w:t>
      </w:r>
    </w:p>
    <w:p w:rsidR="0044767C" w:rsidRPr="0044767C" w:rsidRDefault="0044767C" w:rsidP="00551094">
      <w:pPr>
        <w:pStyle w:val="ListParagraph"/>
        <w:spacing w:after="0" w:line="240" w:lineRule="auto"/>
        <w:jc w:val="both"/>
        <w:rPr>
          <w:rFonts w:asciiTheme="minorHAnsi" w:hAnsiTheme="minorHAnsi"/>
        </w:rPr>
      </w:pPr>
    </w:p>
    <w:p w:rsidR="0044767C" w:rsidRPr="0044767C" w:rsidRDefault="0044767C" w:rsidP="00551094">
      <w:pPr>
        <w:spacing w:after="0" w:line="240" w:lineRule="auto"/>
        <w:contextualSpacing/>
        <w:jc w:val="both"/>
        <w:rPr>
          <w:rFonts w:asciiTheme="minorHAnsi" w:hAnsiTheme="minorHAnsi"/>
        </w:rPr>
      </w:pPr>
      <w:r w:rsidRPr="0044767C">
        <w:rPr>
          <w:rFonts w:asciiTheme="minorHAnsi" w:hAnsiTheme="minorHAnsi"/>
          <w:i/>
        </w:rPr>
        <w:t>Neighboring Higher Education Institutions:</w:t>
      </w:r>
    </w:p>
    <w:p w:rsidR="0044767C" w:rsidRPr="0044767C" w:rsidRDefault="008F6684" w:rsidP="00551094">
      <w:pPr>
        <w:pStyle w:val="ListParagraph"/>
        <w:numPr>
          <w:ilvl w:val="0"/>
          <w:numId w:val="54"/>
        </w:numPr>
        <w:spacing w:after="0" w:line="240" w:lineRule="auto"/>
        <w:jc w:val="both"/>
        <w:rPr>
          <w:rFonts w:asciiTheme="minorHAnsi" w:hAnsiTheme="minorHAnsi"/>
        </w:rPr>
      </w:pPr>
      <w:r>
        <w:rPr>
          <w:rFonts w:asciiTheme="minorHAnsi" w:hAnsiTheme="minorHAnsi"/>
        </w:rPr>
        <w:t>There are 47</w:t>
      </w:r>
      <w:r w:rsidR="0044767C" w:rsidRPr="0044767C">
        <w:rPr>
          <w:rFonts w:asciiTheme="minorHAnsi" w:hAnsiTheme="minorHAnsi"/>
        </w:rPr>
        <w:t xml:space="preserve"> higher education institutions that are </w:t>
      </w:r>
      <w:r w:rsidR="00A465D8">
        <w:rPr>
          <w:rFonts w:asciiTheme="minorHAnsi" w:hAnsiTheme="minorHAnsi"/>
        </w:rPr>
        <w:t xml:space="preserve">approximately </w:t>
      </w:r>
      <w:r>
        <w:rPr>
          <w:rFonts w:asciiTheme="minorHAnsi" w:hAnsiTheme="minorHAnsi"/>
        </w:rPr>
        <w:t>one</w:t>
      </w:r>
      <w:r w:rsidR="0044767C" w:rsidRPr="0044767C">
        <w:rPr>
          <w:rFonts w:asciiTheme="minorHAnsi" w:hAnsiTheme="minorHAnsi"/>
        </w:rPr>
        <w:t xml:space="preserve"> driv</w:t>
      </w:r>
      <w:r>
        <w:rPr>
          <w:rFonts w:asciiTheme="minorHAnsi" w:hAnsiTheme="minorHAnsi"/>
        </w:rPr>
        <w:t>ing hour away from CHC. Those 47</w:t>
      </w:r>
      <w:r w:rsidR="0044767C" w:rsidRPr="0044767C">
        <w:rPr>
          <w:rFonts w:asciiTheme="minorHAnsi" w:hAnsiTheme="minorHAnsi"/>
        </w:rPr>
        <w:t xml:space="preserve"> neighboring institutions are comprised of:</w:t>
      </w:r>
    </w:p>
    <w:p w:rsidR="0044767C" w:rsidRPr="0044767C" w:rsidRDefault="008F6684" w:rsidP="00551094">
      <w:pPr>
        <w:pStyle w:val="ListParagraph"/>
        <w:numPr>
          <w:ilvl w:val="1"/>
          <w:numId w:val="54"/>
        </w:numPr>
        <w:spacing w:after="0" w:line="240" w:lineRule="auto"/>
        <w:jc w:val="both"/>
        <w:rPr>
          <w:rFonts w:asciiTheme="minorHAnsi" w:hAnsiTheme="minorHAnsi"/>
        </w:rPr>
      </w:pPr>
      <w:r>
        <w:rPr>
          <w:rFonts w:asciiTheme="minorHAnsi" w:hAnsiTheme="minorHAnsi"/>
        </w:rPr>
        <w:t>20</w:t>
      </w:r>
      <w:r w:rsidR="0044767C" w:rsidRPr="0044767C">
        <w:rPr>
          <w:rFonts w:asciiTheme="minorHAnsi" w:hAnsiTheme="minorHAnsi"/>
        </w:rPr>
        <w:t xml:space="preserve"> California Community Colleges</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Two vocational colleges</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One private vocational college</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One private junior college</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17 private 4-year colleges</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 xml:space="preserve">Four California </w:t>
      </w:r>
      <w:r w:rsidR="00FB6DA3">
        <w:rPr>
          <w:rFonts w:asciiTheme="minorHAnsi" w:hAnsiTheme="minorHAnsi"/>
        </w:rPr>
        <w:t>State</w:t>
      </w:r>
      <w:r w:rsidRPr="0044767C">
        <w:rPr>
          <w:rFonts w:asciiTheme="minorHAnsi" w:hAnsiTheme="minorHAnsi"/>
        </w:rPr>
        <w:t xml:space="preserve"> Universities (Cal Poly Pomona, CSU San Bernardino, CSU Fullerton and CSU Los Angeles)</w:t>
      </w:r>
    </w:p>
    <w:p w:rsidR="0044767C" w:rsidRPr="0044767C" w:rsidRDefault="0044767C" w:rsidP="00551094">
      <w:pPr>
        <w:pStyle w:val="ListParagraph"/>
        <w:numPr>
          <w:ilvl w:val="1"/>
          <w:numId w:val="54"/>
        </w:numPr>
        <w:spacing w:after="0" w:line="240" w:lineRule="auto"/>
        <w:jc w:val="both"/>
        <w:rPr>
          <w:rFonts w:asciiTheme="minorHAnsi" w:hAnsiTheme="minorHAnsi"/>
        </w:rPr>
      </w:pPr>
      <w:r w:rsidRPr="0044767C">
        <w:rPr>
          <w:rFonts w:asciiTheme="minorHAnsi" w:hAnsiTheme="minorHAnsi"/>
        </w:rPr>
        <w:t>Two University of California institutions (UC Riverside and UC Irvine)</w:t>
      </w:r>
    </w:p>
    <w:p w:rsidR="0044767C" w:rsidRDefault="0044767C" w:rsidP="00551094">
      <w:pPr>
        <w:spacing w:after="0" w:line="240" w:lineRule="auto"/>
        <w:jc w:val="both"/>
        <w:rPr>
          <w:rFonts w:asciiTheme="minorHAnsi" w:eastAsia="Arial" w:hAnsiTheme="minorHAnsi" w:cs="Arial"/>
          <w:b/>
          <w:sz w:val="24"/>
        </w:rPr>
      </w:pPr>
    </w:p>
    <w:p w:rsidR="0044767C" w:rsidRDefault="0044767C" w:rsidP="001A17B8">
      <w:pPr>
        <w:jc w:val="both"/>
        <w:rPr>
          <w:rFonts w:asciiTheme="minorHAnsi" w:eastAsia="Arial" w:hAnsiTheme="minorHAnsi" w:cs="Arial"/>
          <w:b/>
          <w:sz w:val="24"/>
        </w:rPr>
      </w:pPr>
    </w:p>
    <w:p w:rsidR="0044767C" w:rsidRDefault="0044767C" w:rsidP="001A17B8">
      <w:pPr>
        <w:jc w:val="both"/>
        <w:rPr>
          <w:rFonts w:asciiTheme="minorHAnsi" w:eastAsia="Arial" w:hAnsiTheme="minorHAnsi" w:cs="Arial"/>
          <w:b/>
          <w:sz w:val="24"/>
        </w:rPr>
      </w:pPr>
    </w:p>
    <w:p w:rsidR="0044767C" w:rsidRDefault="0044767C" w:rsidP="001A17B8">
      <w:pPr>
        <w:jc w:val="both"/>
        <w:rPr>
          <w:rFonts w:asciiTheme="minorHAnsi" w:eastAsia="Arial" w:hAnsiTheme="minorHAnsi" w:cs="Arial"/>
          <w:b/>
          <w:sz w:val="24"/>
        </w:rPr>
      </w:pPr>
    </w:p>
    <w:p w:rsidR="00A465D8" w:rsidRDefault="00A465D8" w:rsidP="001A17B8">
      <w:pPr>
        <w:jc w:val="both"/>
        <w:rPr>
          <w:rFonts w:asciiTheme="minorHAnsi" w:eastAsia="Arial" w:hAnsiTheme="minorHAnsi" w:cs="Arial"/>
          <w:b/>
          <w:sz w:val="24"/>
        </w:rPr>
      </w:pPr>
    </w:p>
    <w:p w:rsidR="00A465D8" w:rsidRPr="00A465D8" w:rsidRDefault="00A465D8" w:rsidP="00F40E27">
      <w:pPr>
        <w:pStyle w:val="NoSpacing"/>
        <w:contextualSpacing/>
        <w:jc w:val="both"/>
      </w:pPr>
      <w:r w:rsidRPr="00A465D8">
        <w:lastRenderedPageBreak/>
        <w:t xml:space="preserve">Crafton Hills Community College (CHC) is committed to providing students with education for transfer to four-year institutions and </w:t>
      </w:r>
      <w:r w:rsidR="00095B19">
        <w:t>with</w:t>
      </w:r>
      <w:r w:rsidRPr="00A465D8">
        <w:t xml:space="preserve"> career technical and professional </w:t>
      </w:r>
      <w:r w:rsidR="00095B19">
        <w:t>education</w:t>
      </w:r>
      <w:r w:rsidRPr="00A465D8">
        <w:t xml:space="preserve"> important to the region. In an effort to best understand economic conditions, </w:t>
      </w:r>
      <w:r w:rsidR="00095B19">
        <w:t>the following analysis</w:t>
      </w:r>
      <w:r w:rsidRPr="00A465D8">
        <w:t xml:space="preserve"> examines labor market information for the region (San Ber</w:t>
      </w:r>
      <w:r w:rsidR="00095B19">
        <w:t>nardino and Riverside Counties)</w:t>
      </w:r>
      <w:r w:rsidRPr="00A465D8">
        <w:t xml:space="preserve"> as well as the service </w:t>
      </w:r>
      <w:r w:rsidR="00095B19" w:rsidRPr="00A465D8">
        <w:t>area community</w:t>
      </w:r>
      <w:r w:rsidRPr="00A465D8">
        <w:t xml:space="preserve"> directly in the College’s sphere of influence.</w:t>
      </w:r>
    </w:p>
    <w:p w:rsidR="00A465D8" w:rsidRPr="00A465D8" w:rsidRDefault="00A465D8" w:rsidP="00A465D8">
      <w:pPr>
        <w:pStyle w:val="NoSpacing"/>
        <w:contextualSpacing/>
      </w:pPr>
    </w:p>
    <w:p w:rsidR="00A465D8" w:rsidRPr="00A465D8" w:rsidRDefault="00A465D8" w:rsidP="00A465D8">
      <w:pPr>
        <w:pStyle w:val="NoSpacing"/>
        <w:contextualSpacing/>
        <w:rPr>
          <w:color w:val="008000"/>
        </w:rPr>
      </w:pPr>
      <w:r w:rsidRPr="00294CF5">
        <w:rPr>
          <w:b/>
          <w:color w:val="008000"/>
        </w:rPr>
        <w:t>Labor Force, Employment and Unemployment</w:t>
      </w:r>
    </w:p>
    <w:p w:rsidR="00A465D8" w:rsidRPr="00A465D8" w:rsidRDefault="00A465D8" w:rsidP="00C22F77">
      <w:pPr>
        <w:pStyle w:val="NoSpacing"/>
        <w:contextualSpacing/>
        <w:jc w:val="both"/>
      </w:pPr>
      <w:r w:rsidRPr="00A465D8">
        <w:t xml:space="preserve">Labor force is defined as the working age population (16 years or older) that is employed (part or full time) or actively seeking employment. </w:t>
      </w:r>
      <w:r w:rsidR="00294CF5">
        <w:t>T</w:t>
      </w:r>
      <w:r w:rsidRPr="00A465D8">
        <w:t xml:space="preserve">he CHC service area labor force is composed of approximately 487,700 residents age 16 or older. Approximately 1,961,800 </w:t>
      </w:r>
      <w:r w:rsidR="00041EE7">
        <w:t xml:space="preserve">persons within </w:t>
      </w:r>
      <w:r w:rsidRPr="00A465D8">
        <w:t>the regional population age 16 or older made up the regional labor force.</w:t>
      </w:r>
    </w:p>
    <w:p w:rsidR="00A465D8" w:rsidRPr="00A465D8" w:rsidRDefault="00A465D8" w:rsidP="00C22F77">
      <w:pPr>
        <w:pStyle w:val="NoSpacing"/>
        <w:contextualSpacing/>
        <w:jc w:val="both"/>
      </w:pPr>
    </w:p>
    <w:p w:rsidR="00A465D8" w:rsidRPr="00A465D8" w:rsidRDefault="00041EE7" w:rsidP="00C22F77">
      <w:pPr>
        <w:pStyle w:val="NoSpacing"/>
        <w:contextualSpacing/>
        <w:jc w:val="both"/>
      </w:pPr>
      <w:r>
        <w:t>In 2015, t</w:t>
      </w:r>
      <w:r w:rsidR="00A465D8" w:rsidRPr="00A465D8">
        <w:t>he unemployment rate of the service area (</w:t>
      </w:r>
      <w:r>
        <w:t>6.66%) and region (6.6%) was</w:t>
      </w:r>
      <w:r w:rsidR="00A465D8" w:rsidRPr="00A465D8">
        <w:t xml:space="preserve"> </w:t>
      </w:r>
      <w:r>
        <w:t xml:space="preserve">fractionally </w:t>
      </w:r>
      <w:r w:rsidR="00A465D8" w:rsidRPr="00A465D8">
        <w:t xml:space="preserve">higher than the </w:t>
      </w:r>
      <w:r w:rsidR="00FB6DA3">
        <w:t>State</w:t>
      </w:r>
      <w:r w:rsidR="00A465D8" w:rsidRPr="00A465D8">
        <w:t>’s estimated unemployment rate of 6.2%.</w:t>
      </w:r>
    </w:p>
    <w:p w:rsidR="00A465D8" w:rsidRPr="00A465D8" w:rsidRDefault="00A465D8" w:rsidP="00A465D8">
      <w:pPr>
        <w:pStyle w:val="NoSpacing"/>
        <w:contextualSpacing/>
      </w:pPr>
    </w:p>
    <w:p w:rsidR="00A465D8" w:rsidRPr="00A465D8" w:rsidRDefault="00A465D8" w:rsidP="00041EE7">
      <w:pPr>
        <w:pStyle w:val="NoSpacing"/>
        <w:contextualSpacing/>
        <w:jc w:val="center"/>
        <w:rPr>
          <w:b/>
          <w:color w:val="008000"/>
        </w:rPr>
      </w:pPr>
      <w:r w:rsidRPr="00A465D8">
        <w:rPr>
          <w:b/>
          <w:color w:val="008000"/>
        </w:rPr>
        <w:t>Exhibit 4.XX Labor F</w:t>
      </w:r>
      <w:r w:rsidR="00041EE7">
        <w:rPr>
          <w:b/>
          <w:color w:val="008000"/>
        </w:rPr>
        <w:t xml:space="preserve">orce, Employment &amp; Unemployment </w:t>
      </w:r>
      <w:r w:rsidRPr="00A465D8">
        <w:rPr>
          <w:b/>
          <w:color w:val="008000"/>
        </w:rPr>
        <w:t>(Annual Average 2015)</w:t>
      </w:r>
    </w:p>
    <w:tbl>
      <w:tblPr>
        <w:tblW w:w="7120" w:type="dxa"/>
        <w:jc w:val="center"/>
        <w:tblInd w:w="93" w:type="dxa"/>
        <w:tblLook w:val="04A0" w:firstRow="1" w:lastRow="0" w:firstColumn="1" w:lastColumn="0" w:noHBand="0" w:noVBand="1"/>
      </w:tblPr>
      <w:tblGrid>
        <w:gridCol w:w="1600"/>
        <w:gridCol w:w="1218"/>
        <w:gridCol w:w="1356"/>
        <w:gridCol w:w="1615"/>
        <w:gridCol w:w="1615"/>
      </w:tblGrid>
      <w:tr w:rsidR="00A465D8" w:rsidRPr="00A465D8" w:rsidTr="00A465D8">
        <w:trPr>
          <w:trHeight w:val="600"/>
          <w:jc w:val="center"/>
        </w:trPr>
        <w:tc>
          <w:tcPr>
            <w:tcW w:w="1600" w:type="dxa"/>
            <w:tcBorders>
              <w:top w:val="nil"/>
              <w:left w:val="nil"/>
              <w:bottom w:val="nil"/>
              <w:right w:val="nil"/>
            </w:tcBorders>
            <w:shd w:val="clear" w:color="auto" w:fill="525252" w:themeFill="accent3" w:themeFillShade="80"/>
            <w:noWrap/>
            <w:vAlign w:val="center"/>
            <w:hideMark/>
          </w:tcPr>
          <w:p w:rsidR="00A465D8" w:rsidRPr="00A465D8" w:rsidRDefault="00A465D8" w:rsidP="00A465D8">
            <w:pPr>
              <w:spacing w:after="0" w:line="240" w:lineRule="auto"/>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Area</w:t>
            </w:r>
          </w:p>
        </w:tc>
        <w:tc>
          <w:tcPr>
            <w:tcW w:w="1060" w:type="dxa"/>
            <w:tcBorders>
              <w:top w:val="nil"/>
              <w:left w:val="nil"/>
              <w:bottom w:val="nil"/>
              <w:right w:val="nil"/>
            </w:tcBorders>
            <w:shd w:val="clear" w:color="auto" w:fill="525252" w:themeFill="accent3" w:themeFillShade="80"/>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Labor Force</w:t>
            </w:r>
          </w:p>
        </w:tc>
        <w:tc>
          <w:tcPr>
            <w:tcW w:w="1300" w:type="dxa"/>
            <w:tcBorders>
              <w:top w:val="nil"/>
              <w:left w:val="nil"/>
              <w:bottom w:val="nil"/>
              <w:right w:val="nil"/>
            </w:tcBorders>
            <w:shd w:val="clear" w:color="auto" w:fill="525252" w:themeFill="accent3" w:themeFillShade="80"/>
            <w:noWrap/>
            <w:vAlign w:val="center"/>
            <w:hideMark/>
          </w:tcPr>
          <w:p w:rsidR="00A465D8" w:rsidRPr="00A465D8" w:rsidRDefault="00A465D8" w:rsidP="00A465D8">
            <w:pPr>
              <w:spacing w:after="0" w:line="240" w:lineRule="auto"/>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Employment</w:t>
            </w:r>
          </w:p>
        </w:tc>
        <w:tc>
          <w:tcPr>
            <w:tcW w:w="1580" w:type="dxa"/>
            <w:tcBorders>
              <w:top w:val="nil"/>
              <w:left w:val="nil"/>
              <w:bottom w:val="nil"/>
              <w:right w:val="nil"/>
            </w:tcBorders>
            <w:shd w:val="clear" w:color="auto" w:fill="525252" w:themeFill="accent3" w:themeFillShade="80"/>
            <w:noWrap/>
            <w:vAlign w:val="center"/>
            <w:hideMark/>
          </w:tcPr>
          <w:p w:rsidR="00A465D8" w:rsidRPr="00A465D8" w:rsidRDefault="00A465D8" w:rsidP="00A465D8">
            <w:pPr>
              <w:spacing w:after="0" w:line="240" w:lineRule="auto"/>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Unemployment</w:t>
            </w:r>
          </w:p>
        </w:tc>
        <w:tc>
          <w:tcPr>
            <w:tcW w:w="1580" w:type="dxa"/>
            <w:tcBorders>
              <w:top w:val="nil"/>
              <w:left w:val="nil"/>
              <w:bottom w:val="nil"/>
              <w:right w:val="nil"/>
            </w:tcBorders>
            <w:shd w:val="clear" w:color="auto" w:fill="525252" w:themeFill="accent3" w:themeFillShade="80"/>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Unemployment Rate</w:t>
            </w:r>
          </w:p>
        </w:tc>
      </w:tr>
      <w:tr w:rsidR="00A465D8" w:rsidRPr="00A465D8" w:rsidTr="00A465D8">
        <w:trPr>
          <w:trHeight w:val="300"/>
          <w:jc w:val="center"/>
        </w:trPr>
        <w:tc>
          <w:tcPr>
            <w:tcW w:w="160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Service Area</w:t>
            </w:r>
          </w:p>
        </w:tc>
        <w:tc>
          <w:tcPr>
            <w:tcW w:w="106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487,800</w:t>
            </w:r>
          </w:p>
        </w:tc>
        <w:tc>
          <w:tcPr>
            <w:tcW w:w="130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455,600</w:t>
            </w:r>
          </w:p>
        </w:tc>
        <w:tc>
          <w:tcPr>
            <w:tcW w:w="158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32,500</w:t>
            </w:r>
          </w:p>
        </w:tc>
        <w:tc>
          <w:tcPr>
            <w:tcW w:w="158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6.66%</w:t>
            </w:r>
          </w:p>
        </w:tc>
      </w:tr>
      <w:tr w:rsidR="00A465D8" w:rsidRPr="00A465D8" w:rsidTr="00A465D8">
        <w:trPr>
          <w:trHeight w:val="300"/>
          <w:jc w:val="center"/>
        </w:trPr>
        <w:tc>
          <w:tcPr>
            <w:tcW w:w="160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Region</w:t>
            </w:r>
          </w:p>
        </w:tc>
        <w:tc>
          <w:tcPr>
            <w:tcW w:w="106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1,961,800</w:t>
            </w:r>
          </w:p>
        </w:tc>
        <w:tc>
          <w:tcPr>
            <w:tcW w:w="130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1,832,300</w:t>
            </w:r>
          </w:p>
        </w:tc>
        <w:tc>
          <w:tcPr>
            <w:tcW w:w="158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129,500</w:t>
            </w:r>
          </w:p>
        </w:tc>
        <w:tc>
          <w:tcPr>
            <w:tcW w:w="158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6.60%</w:t>
            </w:r>
          </w:p>
        </w:tc>
      </w:tr>
      <w:tr w:rsidR="00A465D8" w:rsidRPr="00A465D8" w:rsidTr="00A465D8">
        <w:trPr>
          <w:trHeight w:val="300"/>
          <w:jc w:val="center"/>
        </w:trPr>
        <w:tc>
          <w:tcPr>
            <w:tcW w:w="1600" w:type="dxa"/>
            <w:tcBorders>
              <w:top w:val="nil"/>
              <w:left w:val="nil"/>
              <w:bottom w:val="nil"/>
              <w:right w:val="nil"/>
            </w:tcBorders>
            <w:shd w:val="clear" w:color="auto" w:fill="DBDBDB" w:themeFill="accent3" w:themeFillTint="66"/>
            <w:noWrap/>
            <w:vAlign w:val="bottom"/>
            <w:hideMark/>
          </w:tcPr>
          <w:p w:rsidR="00A465D8" w:rsidRPr="00A465D8" w:rsidRDefault="00FB6DA3" w:rsidP="00A465D8">
            <w:pPr>
              <w:spacing w:after="0" w:line="240" w:lineRule="auto"/>
              <w:rPr>
                <w:rFonts w:asciiTheme="minorHAnsi" w:eastAsia="Times New Roman" w:hAnsiTheme="minorHAnsi" w:cs="Times New Roman"/>
              </w:rPr>
            </w:pPr>
            <w:r>
              <w:rPr>
                <w:rFonts w:asciiTheme="minorHAnsi" w:eastAsia="Times New Roman" w:hAnsiTheme="minorHAnsi" w:cs="Times New Roman"/>
              </w:rPr>
              <w:t>State</w:t>
            </w:r>
          </w:p>
        </w:tc>
        <w:tc>
          <w:tcPr>
            <w:tcW w:w="106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18,981,800</w:t>
            </w:r>
          </w:p>
        </w:tc>
        <w:tc>
          <w:tcPr>
            <w:tcW w:w="130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17,798,600</w:t>
            </w:r>
          </w:p>
        </w:tc>
        <w:tc>
          <w:tcPr>
            <w:tcW w:w="158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1,183,200</w:t>
            </w:r>
          </w:p>
        </w:tc>
        <w:tc>
          <w:tcPr>
            <w:tcW w:w="158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6.20%</w:t>
            </w:r>
          </w:p>
        </w:tc>
      </w:tr>
    </w:tbl>
    <w:p w:rsidR="00A465D8" w:rsidRPr="002C66DE" w:rsidRDefault="00A465D8" w:rsidP="002C66DE">
      <w:pPr>
        <w:pStyle w:val="NoSpacing"/>
        <w:ind w:left="990"/>
        <w:contextualSpacing/>
        <w:rPr>
          <w:sz w:val="20"/>
          <w:szCs w:val="20"/>
        </w:rPr>
      </w:pPr>
      <w:r w:rsidRPr="002C66DE">
        <w:rPr>
          <w:i/>
          <w:sz w:val="20"/>
          <w:szCs w:val="20"/>
        </w:rPr>
        <w:t>Source: California Employment Development Department, LMI Division</w:t>
      </w:r>
    </w:p>
    <w:p w:rsidR="00A465D8" w:rsidRPr="00A465D8" w:rsidRDefault="00A465D8" w:rsidP="00A465D8">
      <w:pPr>
        <w:pStyle w:val="NoSpacing"/>
        <w:contextualSpacing/>
      </w:pPr>
    </w:p>
    <w:p w:rsidR="00A465D8" w:rsidRPr="00A465D8" w:rsidRDefault="00A465D8" w:rsidP="00A465D8">
      <w:pPr>
        <w:pStyle w:val="NoSpacing"/>
        <w:contextualSpacing/>
        <w:rPr>
          <w:b/>
          <w:color w:val="008000"/>
        </w:rPr>
      </w:pPr>
      <w:r w:rsidRPr="00A465D8">
        <w:rPr>
          <w:b/>
          <w:color w:val="008000"/>
        </w:rPr>
        <w:t>Industry Estimates and Projections</w:t>
      </w:r>
    </w:p>
    <w:p w:rsidR="00A465D8" w:rsidRDefault="000E1AC5" w:rsidP="00041EE7">
      <w:pPr>
        <w:pStyle w:val="NoSpacing"/>
        <w:contextualSpacing/>
        <w:jc w:val="both"/>
      </w:pPr>
      <w:r>
        <w:t>In 2015</w:t>
      </w:r>
      <w:r w:rsidR="00095B19">
        <w:t>, the top five</w:t>
      </w:r>
      <w:r w:rsidR="00A465D8" w:rsidRPr="00A465D8">
        <w:t xml:space="preserve"> </w:t>
      </w:r>
      <w:r>
        <w:t xml:space="preserve">employment </w:t>
      </w:r>
      <w:r w:rsidR="00A465D8" w:rsidRPr="00A465D8">
        <w:t xml:space="preserve">industries in the service area were the following: </w:t>
      </w:r>
      <w:r>
        <w:t>Health Care and Social Assistance (20.19% or 47,528 jobs), Government (15.16% or 35,679 jobs), Retail Trade (13.68% or 32,193 jobs), Accommodation and Food Services (9.16% or 21,564 jobs), and Transportation and Warehousing (7.5% or 17,659 jobs).</w:t>
      </w:r>
    </w:p>
    <w:p w:rsidR="000E1AC5" w:rsidRPr="00A465D8" w:rsidRDefault="000E1AC5" w:rsidP="00041EE7">
      <w:pPr>
        <w:pStyle w:val="NoSpacing"/>
        <w:contextualSpacing/>
        <w:jc w:val="both"/>
      </w:pPr>
    </w:p>
    <w:p w:rsidR="00A465D8" w:rsidRPr="00A465D8" w:rsidRDefault="00095B19" w:rsidP="00041EE7">
      <w:pPr>
        <w:pStyle w:val="NoSpacing"/>
        <w:contextualSpacing/>
        <w:jc w:val="both"/>
      </w:pPr>
      <w:r>
        <w:t>Between 2010 and 2015, the</w:t>
      </w:r>
      <w:r w:rsidR="000E1AC5">
        <w:t xml:space="preserve"> top</w:t>
      </w:r>
      <w:r>
        <w:t xml:space="preserve"> five</w:t>
      </w:r>
      <w:r w:rsidR="000E1AC5">
        <w:t xml:space="preserve"> employment</w:t>
      </w:r>
      <w:r w:rsidR="00A465D8" w:rsidRPr="00A465D8">
        <w:t xml:space="preserve"> industries</w:t>
      </w:r>
      <w:r>
        <w:t xml:space="preserve"> named above</w:t>
      </w:r>
      <w:r w:rsidR="00A465D8" w:rsidRPr="00A465D8">
        <w:t xml:space="preserve"> grew by the following: Health Care and Social Assistance (46.44% or 15,072 jobs), </w:t>
      </w:r>
      <w:r w:rsidR="000E1AC5" w:rsidRPr="00A465D8">
        <w:t>Government (0.45% or 160 jobs)</w:t>
      </w:r>
      <w:r w:rsidR="000E1AC5">
        <w:t xml:space="preserve">, </w:t>
      </w:r>
      <w:r w:rsidR="00A465D8" w:rsidRPr="00A465D8">
        <w:t>Retail Trade (10.95% or 3,176 jobs), Accommodation and Food Services (22.16% or 3,912 jobs)</w:t>
      </w:r>
      <w:r w:rsidR="006C008F">
        <w:t>,</w:t>
      </w:r>
      <w:r w:rsidR="00A465D8" w:rsidRPr="00A465D8">
        <w:t xml:space="preserve"> and Transportation and Warehousing (45.35% or 5,510 jobs).</w:t>
      </w:r>
    </w:p>
    <w:p w:rsidR="00A465D8" w:rsidRPr="00A465D8" w:rsidRDefault="00A465D8" w:rsidP="00041EE7">
      <w:pPr>
        <w:pStyle w:val="NoSpacing"/>
        <w:contextualSpacing/>
        <w:jc w:val="both"/>
      </w:pPr>
    </w:p>
    <w:p w:rsidR="00A465D8" w:rsidRPr="00A465D8" w:rsidRDefault="00A465D8" w:rsidP="00041EE7">
      <w:pPr>
        <w:pStyle w:val="NoSpacing"/>
        <w:contextualSpacing/>
        <w:jc w:val="both"/>
      </w:pPr>
      <w:r w:rsidRPr="00A465D8">
        <w:t xml:space="preserve">By 2025, the top </w:t>
      </w:r>
      <w:r w:rsidR="00095B19">
        <w:t>five</w:t>
      </w:r>
      <w:r w:rsidRPr="00A465D8">
        <w:t xml:space="preserve"> </w:t>
      </w:r>
      <w:r w:rsidR="002C66DE">
        <w:t xml:space="preserve">employment </w:t>
      </w:r>
      <w:r w:rsidRPr="00A465D8">
        <w:t>industries in the service area in terms of people employed are projected to be: Health Care and Social Assistance (22.61% or 62,111 jobs), Retail Trade (14% or 38,455 jobs), Government (13.3% or 36,547 jobs), Accommodation and Food Services (9.33% or 25,643 jobs)</w:t>
      </w:r>
      <w:r w:rsidR="006C008F">
        <w:t>,</w:t>
      </w:r>
      <w:r w:rsidRPr="00A465D8">
        <w:t xml:space="preserve"> and Transportation and Warehousing (8.4% or 23,091 jobs).</w:t>
      </w:r>
    </w:p>
    <w:p w:rsidR="00A465D8" w:rsidRDefault="00A465D8" w:rsidP="00A465D8">
      <w:pPr>
        <w:pStyle w:val="NoSpacing"/>
        <w:contextualSpacing/>
      </w:pPr>
    </w:p>
    <w:p w:rsidR="000E1AC5" w:rsidRDefault="005E4864" w:rsidP="00537BD5">
      <w:pPr>
        <w:pStyle w:val="NoSpacing"/>
        <w:contextualSpacing/>
        <w:jc w:val="both"/>
      </w:pPr>
      <w:r>
        <w:t xml:space="preserve">From 2015 to 2025, the largest numerical job growth for service area employment by industry is expected to be the following: Health Care and Social Assistance (14,583 jobs or 30.68%), Retail Trade (6,262 jobs or 19.45%), Transportation and Warehousing (5,432 jobs or 30.76%), </w:t>
      </w:r>
      <w:r w:rsidR="00537BD5">
        <w:t>and Accommodation and Food Services (4,079 jobs or 18.92%).</w:t>
      </w:r>
    </w:p>
    <w:p w:rsidR="00537BD5" w:rsidRDefault="00537BD5" w:rsidP="00A465D8">
      <w:pPr>
        <w:pStyle w:val="NoSpacing"/>
        <w:contextualSpacing/>
      </w:pPr>
    </w:p>
    <w:p w:rsidR="000E1AC5" w:rsidRDefault="000E1AC5" w:rsidP="00A465D8">
      <w:pPr>
        <w:pStyle w:val="NoSpacing"/>
        <w:contextualSpacing/>
      </w:pPr>
    </w:p>
    <w:p w:rsidR="000E1AC5" w:rsidRDefault="000E1AC5" w:rsidP="00A465D8">
      <w:pPr>
        <w:pStyle w:val="NoSpacing"/>
        <w:contextualSpacing/>
      </w:pPr>
    </w:p>
    <w:p w:rsidR="00095B19" w:rsidRPr="00A465D8" w:rsidRDefault="00095B19" w:rsidP="00A465D8">
      <w:pPr>
        <w:pStyle w:val="NoSpacing"/>
        <w:contextualSpacing/>
      </w:pPr>
    </w:p>
    <w:p w:rsidR="00A465D8" w:rsidRPr="00A465D8" w:rsidRDefault="00A465D8" w:rsidP="00A465D8">
      <w:pPr>
        <w:pStyle w:val="NoSpacing"/>
        <w:contextualSpacing/>
        <w:jc w:val="center"/>
        <w:rPr>
          <w:b/>
          <w:color w:val="008000"/>
        </w:rPr>
      </w:pPr>
      <w:r w:rsidRPr="00A465D8">
        <w:rPr>
          <w:b/>
          <w:color w:val="008000"/>
        </w:rPr>
        <w:lastRenderedPageBreak/>
        <w:t>Exhibit 4.XX Service Area Employment Projections by Industry (2010 – 2025)</w:t>
      </w:r>
    </w:p>
    <w:tbl>
      <w:tblPr>
        <w:tblW w:w="10040" w:type="dxa"/>
        <w:jc w:val="center"/>
        <w:tblInd w:w="93" w:type="dxa"/>
        <w:tblLook w:val="04A0" w:firstRow="1" w:lastRow="0" w:firstColumn="1" w:lastColumn="0" w:noHBand="0" w:noVBand="1"/>
      </w:tblPr>
      <w:tblGrid>
        <w:gridCol w:w="5020"/>
        <w:gridCol w:w="960"/>
        <w:gridCol w:w="960"/>
        <w:gridCol w:w="1180"/>
        <w:gridCol w:w="960"/>
        <w:gridCol w:w="960"/>
      </w:tblGrid>
      <w:tr w:rsidR="002C66DE" w:rsidRPr="00A465D8" w:rsidTr="00CC1B21">
        <w:trPr>
          <w:trHeight w:val="510"/>
          <w:jc w:val="center"/>
        </w:trPr>
        <w:tc>
          <w:tcPr>
            <w:tcW w:w="5020" w:type="dxa"/>
            <w:tcBorders>
              <w:top w:val="nil"/>
              <w:left w:val="nil"/>
              <w:bottom w:val="nil"/>
              <w:right w:val="nil"/>
            </w:tcBorders>
            <w:shd w:val="clear" w:color="auto" w:fill="525252" w:themeFill="accent3" w:themeFillShade="80"/>
            <w:noWrap/>
            <w:vAlign w:val="center"/>
            <w:hideMark/>
          </w:tcPr>
          <w:p w:rsidR="002C66DE" w:rsidRPr="00A465D8" w:rsidRDefault="002C66DE"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Description</w:t>
            </w:r>
          </w:p>
        </w:tc>
        <w:tc>
          <w:tcPr>
            <w:tcW w:w="960" w:type="dxa"/>
            <w:tcBorders>
              <w:top w:val="nil"/>
              <w:left w:val="nil"/>
              <w:bottom w:val="nil"/>
              <w:right w:val="nil"/>
            </w:tcBorders>
            <w:shd w:val="clear" w:color="auto" w:fill="525252" w:themeFill="accent3" w:themeFillShade="80"/>
            <w:vAlign w:val="center"/>
            <w:hideMark/>
          </w:tcPr>
          <w:p w:rsidR="002C66DE" w:rsidRPr="00A465D8" w:rsidRDefault="002C66DE" w:rsidP="002C66DE">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2010 Jobs</w:t>
            </w:r>
          </w:p>
        </w:tc>
        <w:tc>
          <w:tcPr>
            <w:tcW w:w="960" w:type="dxa"/>
            <w:tcBorders>
              <w:top w:val="nil"/>
              <w:left w:val="nil"/>
              <w:bottom w:val="nil"/>
              <w:right w:val="nil"/>
            </w:tcBorders>
            <w:shd w:val="clear" w:color="auto" w:fill="525252" w:themeFill="accent3" w:themeFillShade="80"/>
            <w:vAlign w:val="center"/>
            <w:hideMark/>
          </w:tcPr>
          <w:p w:rsidR="002C66DE" w:rsidRPr="00A465D8" w:rsidRDefault="002C66DE" w:rsidP="002C66DE">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2015 Jobs</w:t>
            </w:r>
          </w:p>
        </w:tc>
        <w:tc>
          <w:tcPr>
            <w:tcW w:w="1180" w:type="dxa"/>
            <w:tcBorders>
              <w:top w:val="nil"/>
              <w:left w:val="nil"/>
              <w:bottom w:val="nil"/>
              <w:right w:val="nil"/>
            </w:tcBorders>
            <w:shd w:val="clear" w:color="auto" w:fill="525252" w:themeFill="accent3" w:themeFillShade="80"/>
            <w:vAlign w:val="center"/>
          </w:tcPr>
          <w:p w:rsidR="002C66DE" w:rsidRPr="00A465D8" w:rsidRDefault="002C66DE" w:rsidP="002C66DE">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2010 - 2015 Change</w:t>
            </w:r>
          </w:p>
        </w:tc>
        <w:tc>
          <w:tcPr>
            <w:tcW w:w="960" w:type="dxa"/>
            <w:tcBorders>
              <w:top w:val="nil"/>
              <w:left w:val="nil"/>
              <w:bottom w:val="nil"/>
              <w:right w:val="nil"/>
            </w:tcBorders>
            <w:shd w:val="clear" w:color="auto" w:fill="525252" w:themeFill="accent3" w:themeFillShade="80"/>
            <w:vAlign w:val="center"/>
          </w:tcPr>
          <w:p w:rsidR="002C66DE" w:rsidRPr="00A465D8" w:rsidRDefault="002C66DE" w:rsidP="002C66DE">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2025 Jobs</w:t>
            </w:r>
          </w:p>
        </w:tc>
        <w:tc>
          <w:tcPr>
            <w:tcW w:w="960" w:type="dxa"/>
            <w:tcBorders>
              <w:top w:val="nil"/>
              <w:left w:val="nil"/>
              <w:bottom w:val="nil"/>
              <w:right w:val="nil"/>
            </w:tcBorders>
            <w:shd w:val="clear" w:color="auto" w:fill="525252" w:themeFill="accent3" w:themeFillShade="80"/>
            <w:vAlign w:val="center"/>
          </w:tcPr>
          <w:p w:rsidR="002C66DE" w:rsidRPr="00A465D8" w:rsidRDefault="002C66DE" w:rsidP="002C66DE">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2015 - 2025 Change</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Health Care and Social Assistance</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32,456</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47,528</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15,072</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62,111</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14,583</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Retail Trade</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29,017</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32,193</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3,176</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38,455</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6,262</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Government</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35,519</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35,679</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160</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36,547</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868</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Accommodation and Food Services</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17,652</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21,564</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3,912</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25,643</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4,079</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Transportation and Warehousing</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12,149</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17,659</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5,510</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23,091</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5,432</w:t>
            </w:r>
          </w:p>
        </w:tc>
      </w:tr>
      <w:tr w:rsidR="002C66DE" w:rsidRPr="00A465D8" w:rsidTr="00CC1B21">
        <w:trPr>
          <w:trHeight w:val="600"/>
          <w:jc w:val="center"/>
        </w:trPr>
        <w:tc>
          <w:tcPr>
            <w:tcW w:w="5020" w:type="dxa"/>
            <w:tcBorders>
              <w:top w:val="nil"/>
              <w:left w:val="nil"/>
              <w:bottom w:val="nil"/>
              <w:right w:val="nil"/>
            </w:tcBorders>
            <w:shd w:val="clear" w:color="auto" w:fill="auto"/>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Administrative and Support and Waste Management and Remediation Services</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11,326</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13,517</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2,191</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15,272</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1,755</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Manufacturing</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10,222</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12,421</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2,199</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12,732</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311</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Construction</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7,392</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9,839</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2,447</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9,881</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42</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Wholesale Trade</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6,538</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7,752</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1,214</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9,358</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1,606</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Other Services (except Public Administration)</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10,166</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7,101</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(3,065)</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8,050</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949</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Professional, Scientific, and Technical Services</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5,662</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6,464</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802</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7,902</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1,438</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Educational Services</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4,780</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5,324</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544</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6,744</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1,420</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Finance and Insurance</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4,666</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5,153</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487</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5,824</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671</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Arts, Entertainment, and Recreation</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1,751</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2,337</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586</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2,650</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313</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Management of Companies and Enterprises</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2,622</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2,741</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119</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2,590</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(151)</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Real E</w:t>
            </w:r>
            <w:r w:rsidR="00FB6DA3">
              <w:rPr>
                <w:rFonts w:asciiTheme="minorHAnsi" w:eastAsia="Times New Roman" w:hAnsiTheme="minorHAnsi" w:cs="Times New Roman"/>
              </w:rPr>
              <w:t>state</w:t>
            </w:r>
            <w:r w:rsidRPr="00A465D8">
              <w:rPr>
                <w:rFonts w:asciiTheme="minorHAnsi" w:eastAsia="Times New Roman" w:hAnsiTheme="minorHAnsi" w:cs="Times New Roman"/>
              </w:rPr>
              <w:t xml:space="preserve"> and Rental and Leasing</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2,279</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2,420</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141</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2,435</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Utilities</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2,389</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2,240</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(149)</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2,290</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50</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Information</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1,631</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1,371</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(260)</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1,349</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(22)</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Unclassified Industry</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331</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874</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543</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984</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110</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Crop and Animal Production</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1,231</w:t>
            </w:r>
          </w:p>
        </w:tc>
        <w:tc>
          <w:tcPr>
            <w:tcW w:w="960" w:type="dxa"/>
            <w:tcBorders>
              <w:top w:val="nil"/>
              <w:left w:val="nil"/>
              <w:bottom w:val="nil"/>
              <w:right w:val="nil"/>
            </w:tcBorders>
            <w:shd w:val="clear" w:color="auto" w:fill="auto"/>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1,034</w:t>
            </w:r>
          </w:p>
        </w:tc>
        <w:tc>
          <w:tcPr>
            <w:tcW w:w="118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(197)</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633</w:t>
            </w:r>
          </w:p>
        </w:tc>
        <w:tc>
          <w:tcPr>
            <w:tcW w:w="960" w:type="dxa"/>
            <w:tcBorders>
              <w:top w:val="nil"/>
              <w:left w:val="nil"/>
              <w:bottom w:val="nil"/>
              <w:right w:val="nil"/>
            </w:tcBorders>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(401)</w:t>
            </w:r>
          </w:p>
        </w:tc>
      </w:tr>
      <w:tr w:rsidR="002C66DE" w:rsidRPr="00A465D8" w:rsidTr="00CC1B21">
        <w:trPr>
          <w:trHeight w:val="300"/>
          <w:jc w:val="center"/>
        </w:trPr>
        <w:tc>
          <w:tcPr>
            <w:tcW w:w="5020" w:type="dxa"/>
            <w:tcBorders>
              <w:top w:val="nil"/>
              <w:left w:val="nil"/>
              <w:bottom w:val="nil"/>
              <w:right w:val="nil"/>
            </w:tcBorders>
            <w:shd w:val="clear" w:color="auto" w:fill="DBDBDB" w:themeFill="accent3" w:themeFillTint="66"/>
            <w:noWrap/>
            <w:vAlign w:val="center"/>
            <w:hideMark/>
          </w:tcPr>
          <w:p w:rsidR="002C66DE" w:rsidRPr="00A465D8" w:rsidRDefault="002C66DE"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Mining, Quarrying, and Oil and Gas Extraction</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106</w:t>
            </w:r>
          </w:p>
        </w:tc>
        <w:tc>
          <w:tcPr>
            <w:tcW w:w="960" w:type="dxa"/>
            <w:tcBorders>
              <w:top w:val="nil"/>
              <w:left w:val="nil"/>
              <w:bottom w:val="nil"/>
              <w:right w:val="nil"/>
            </w:tcBorders>
            <w:shd w:val="clear" w:color="auto" w:fill="DBDBDB" w:themeFill="accent3" w:themeFillTint="66"/>
            <w:noWrap/>
            <w:vAlign w:val="center"/>
            <w:hideMark/>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197</w:t>
            </w:r>
          </w:p>
        </w:tc>
        <w:tc>
          <w:tcPr>
            <w:tcW w:w="118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91</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223</w:t>
            </w:r>
          </w:p>
        </w:tc>
        <w:tc>
          <w:tcPr>
            <w:tcW w:w="960" w:type="dxa"/>
            <w:tcBorders>
              <w:top w:val="nil"/>
              <w:left w:val="nil"/>
              <w:bottom w:val="nil"/>
              <w:right w:val="nil"/>
            </w:tcBorders>
            <w:shd w:val="clear" w:color="auto" w:fill="DBDBDB" w:themeFill="accent3" w:themeFillTint="66"/>
            <w:vAlign w:val="center"/>
          </w:tcPr>
          <w:p w:rsidR="002C66DE" w:rsidRPr="00A465D8" w:rsidRDefault="002C66DE" w:rsidP="002C66DE">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26</w:t>
            </w:r>
          </w:p>
        </w:tc>
      </w:tr>
      <w:tr w:rsidR="002C66DE" w:rsidRPr="00A465D8" w:rsidTr="00CC1B21">
        <w:trPr>
          <w:trHeight w:val="300"/>
          <w:jc w:val="center"/>
        </w:trPr>
        <w:tc>
          <w:tcPr>
            <w:tcW w:w="5020" w:type="dxa"/>
            <w:tcBorders>
              <w:top w:val="nil"/>
              <w:left w:val="nil"/>
              <w:bottom w:val="nil"/>
              <w:right w:val="nil"/>
            </w:tcBorders>
            <w:shd w:val="clear" w:color="auto" w:fill="auto"/>
            <w:noWrap/>
            <w:vAlign w:val="bottom"/>
            <w:hideMark/>
          </w:tcPr>
          <w:p w:rsidR="002C66DE" w:rsidRPr="00A465D8" w:rsidRDefault="002C66DE" w:rsidP="00A465D8">
            <w:pPr>
              <w:spacing w:after="0" w:line="240" w:lineRule="auto"/>
              <w:rPr>
                <w:rFonts w:asciiTheme="minorHAnsi" w:eastAsia="Times New Roman" w:hAnsiTheme="minorHAnsi" w:cs="Times New Roman"/>
                <w:b/>
                <w:bCs/>
              </w:rPr>
            </w:pPr>
            <w:r w:rsidRPr="00A465D8">
              <w:rPr>
                <w:rFonts w:asciiTheme="minorHAnsi" w:eastAsia="Times New Roman" w:hAnsiTheme="minorHAnsi" w:cs="Times New Roman"/>
                <w:b/>
                <w:bCs/>
              </w:rPr>
              <w:t>Total</w:t>
            </w:r>
          </w:p>
        </w:tc>
        <w:tc>
          <w:tcPr>
            <w:tcW w:w="960" w:type="dxa"/>
            <w:tcBorders>
              <w:top w:val="nil"/>
              <w:left w:val="nil"/>
              <w:bottom w:val="nil"/>
              <w:right w:val="nil"/>
            </w:tcBorders>
            <w:shd w:val="clear" w:color="auto" w:fill="auto"/>
            <w:noWrap/>
            <w:vAlign w:val="bottom"/>
            <w:hideMark/>
          </w:tcPr>
          <w:p w:rsidR="002C66DE" w:rsidRPr="00A465D8" w:rsidRDefault="002C66DE" w:rsidP="002C66DE">
            <w:pPr>
              <w:spacing w:after="0" w:line="240" w:lineRule="auto"/>
              <w:jc w:val="center"/>
              <w:rPr>
                <w:rFonts w:asciiTheme="minorHAnsi" w:eastAsia="Times New Roman" w:hAnsiTheme="minorHAnsi" w:cs="Times New Roman"/>
                <w:b/>
                <w:bCs/>
              </w:rPr>
            </w:pPr>
            <w:r w:rsidRPr="00A465D8">
              <w:rPr>
                <w:rFonts w:asciiTheme="minorHAnsi" w:eastAsia="Times New Roman" w:hAnsiTheme="minorHAnsi" w:cs="Times New Roman"/>
                <w:b/>
                <w:bCs/>
              </w:rPr>
              <w:t>199,884</w:t>
            </w:r>
          </w:p>
        </w:tc>
        <w:tc>
          <w:tcPr>
            <w:tcW w:w="960" w:type="dxa"/>
            <w:tcBorders>
              <w:top w:val="nil"/>
              <w:left w:val="nil"/>
              <w:bottom w:val="nil"/>
              <w:right w:val="nil"/>
            </w:tcBorders>
            <w:shd w:val="clear" w:color="auto" w:fill="auto"/>
            <w:noWrap/>
            <w:vAlign w:val="bottom"/>
            <w:hideMark/>
          </w:tcPr>
          <w:p w:rsidR="002C66DE" w:rsidRPr="00A465D8" w:rsidRDefault="002C66DE" w:rsidP="002C66DE">
            <w:pPr>
              <w:spacing w:after="0" w:line="240" w:lineRule="auto"/>
              <w:jc w:val="center"/>
              <w:rPr>
                <w:rFonts w:asciiTheme="minorHAnsi" w:eastAsia="Times New Roman" w:hAnsiTheme="minorHAnsi" w:cs="Times New Roman"/>
                <w:b/>
                <w:bCs/>
              </w:rPr>
            </w:pPr>
            <w:r w:rsidRPr="00A465D8">
              <w:rPr>
                <w:rFonts w:asciiTheme="minorHAnsi" w:eastAsia="Times New Roman" w:hAnsiTheme="minorHAnsi" w:cs="Times New Roman"/>
                <w:b/>
                <w:bCs/>
              </w:rPr>
              <w:t>235,407</w:t>
            </w:r>
          </w:p>
        </w:tc>
        <w:tc>
          <w:tcPr>
            <w:tcW w:w="1180" w:type="dxa"/>
            <w:tcBorders>
              <w:top w:val="nil"/>
              <w:left w:val="nil"/>
              <w:bottom w:val="nil"/>
              <w:right w:val="nil"/>
            </w:tcBorders>
            <w:vAlign w:val="bottom"/>
          </w:tcPr>
          <w:p w:rsidR="002C66DE" w:rsidRPr="00A465D8" w:rsidRDefault="002C66DE" w:rsidP="002C66DE">
            <w:pPr>
              <w:spacing w:after="0" w:line="240" w:lineRule="auto"/>
              <w:jc w:val="center"/>
              <w:rPr>
                <w:rFonts w:asciiTheme="minorHAnsi" w:eastAsia="Times New Roman" w:hAnsiTheme="minorHAnsi" w:cs="Times New Roman"/>
                <w:b/>
                <w:bCs/>
              </w:rPr>
            </w:pPr>
            <w:r w:rsidRPr="00A465D8">
              <w:rPr>
                <w:rFonts w:asciiTheme="minorHAnsi" w:eastAsia="Times New Roman" w:hAnsiTheme="minorHAnsi" w:cs="Times New Roman"/>
                <w:b/>
                <w:bCs/>
              </w:rPr>
              <w:t>35,523</w:t>
            </w:r>
          </w:p>
        </w:tc>
        <w:tc>
          <w:tcPr>
            <w:tcW w:w="960" w:type="dxa"/>
            <w:tcBorders>
              <w:top w:val="nil"/>
              <w:left w:val="nil"/>
              <w:bottom w:val="nil"/>
              <w:right w:val="nil"/>
            </w:tcBorders>
            <w:vAlign w:val="bottom"/>
          </w:tcPr>
          <w:p w:rsidR="002C66DE" w:rsidRPr="00A465D8" w:rsidRDefault="002C66DE" w:rsidP="002C66DE">
            <w:pPr>
              <w:spacing w:after="0" w:line="240" w:lineRule="auto"/>
              <w:jc w:val="center"/>
              <w:rPr>
                <w:rFonts w:asciiTheme="minorHAnsi" w:eastAsia="Times New Roman" w:hAnsiTheme="minorHAnsi" w:cs="Times New Roman"/>
                <w:b/>
                <w:bCs/>
              </w:rPr>
            </w:pPr>
            <w:r w:rsidRPr="00A465D8">
              <w:rPr>
                <w:rFonts w:asciiTheme="minorHAnsi" w:eastAsia="Times New Roman" w:hAnsiTheme="minorHAnsi" w:cs="Times New Roman"/>
                <w:b/>
                <w:bCs/>
              </w:rPr>
              <w:t>274,763</w:t>
            </w:r>
          </w:p>
        </w:tc>
        <w:tc>
          <w:tcPr>
            <w:tcW w:w="960" w:type="dxa"/>
            <w:tcBorders>
              <w:top w:val="nil"/>
              <w:left w:val="nil"/>
              <w:bottom w:val="nil"/>
              <w:right w:val="nil"/>
            </w:tcBorders>
            <w:vAlign w:val="bottom"/>
          </w:tcPr>
          <w:p w:rsidR="002C66DE" w:rsidRPr="00A465D8" w:rsidRDefault="002C66DE" w:rsidP="002C66DE">
            <w:pPr>
              <w:spacing w:after="0" w:line="240" w:lineRule="auto"/>
              <w:jc w:val="center"/>
              <w:rPr>
                <w:rFonts w:asciiTheme="minorHAnsi" w:eastAsia="Times New Roman" w:hAnsiTheme="minorHAnsi" w:cs="Times New Roman"/>
                <w:b/>
                <w:bCs/>
              </w:rPr>
            </w:pPr>
            <w:r w:rsidRPr="00A465D8">
              <w:rPr>
                <w:rFonts w:asciiTheme="minorHAnsi" w:eastAsia="Times New Roman" w:hAnsiTheme="minorHAnsi" w:cs="Times New Roman"/>
                <w:b/>
                <w:bCs/>
              </w:rPr>
              <w:t>39,356</w:t>
            </w:r>
          </w:p>
        </w:tc>
      </w:tr>
    </w:tbl>
    <w:p w:rsidR="00A465D8" w:rsidRPr="002C66DE" w:rsidRDefault="00A465D8" w:rsidP="002C66DE">
      <w:pPr>
        <w:pStyle w:val="NoSpacing"/>
        <w:ind w:left="-360"/>
        <w:contextualSpacing/>
        <w:rPr>
          <w:i/>
          <w:sz w:val="20"/>
          <w:szCs w:val="20"/>
        </w:rPr>
      </w:pPr>
      <w:r w:rsidRPr="002C66DE">
        <w:rPr>
          <w:i/>
          <w:sz w:val="20"/>
          <w:szCs w:val="20"/>
        </w:rPr>
        <w:t>Source: EMSI</w:t>
      </w:r>
    </w:p>
    <w:p w:rsidR="00A465D8" w:rsidRDefault="00A465D8" w:rsidP="00A465D8">
      <w:pPr>
        <w:pStyle w:val="NoSpacing"/>
        <w:contextualSpacing/>
      </w:pPr>
    </w:p>
    <w:p w:rsidR="002C66DE" w:rsidRPr="00A465D8" w:rsidRDefault="00095B19" w:rsidP="002C66DE">
      <w:pPr>
        <w:contextualSpacing/>
        <w:jc w:val="both"/>
        <w:rPr>
          <w:rFonts w:asciiTheme="minorHAnsi" w:hAnsiTheme="minorHAnsi"/>
        </w:rPr>
      </w:pPr>
      <w:r>
        <w:rPr>
          <w:rFonts w:asciiTheme="minorHAnsi" w:hAnsiTheme="minorHAnsi"/>
        </w:rPr>
        <w:t>In 2015, the top five</w:t>
      </w:r>
      <w:r w:rsidR="002C66DE">
        <w:rPr>
          <w:rFonts w:asciiTheme="minorHAnsi" w:hAnsiTheme="minorHAnsi"/>
        </w:rPr>
        <w:t xml:space="preserve"> employment</w:t>
      </w:r>
      <w:r w:rsidR="002C66DE" w:rsidRPr="00A465D8">
        <w:rPr>
          <w:rFonts w:asciiTheme="minorHAnsi" w:hAnsiTheme="minorHAnsi"/>
        </w:rPr>
        <w:t xml:space="preserve"> industries in the region were the following: Government (17.62% or 233,853 jobs), Retail Trade (12.91% or 171,405 jobs), Health Care and Social Assistance (12.84% or 170,431 jobs), Accommodation and Food Services (9.97% or 132</w:t>
      </w:r>
      <w:r w:rsidR="002C66DE">
        <w:rPr>
          <w:rFonts w:asciiTheme="minorHAnsi" w:hAnsiTheme="minorHAnsi"/>
        </w:rPr>
        <w:t>,410 jobs) and Administrative/</w:t>
      </w:r>
      <w:r w:rsidR="002C66DE" w:rsidRPr="00A465D8">
        <w:rPr>
          <w:rFonts w:asciiTheme="minorHAnsi" w:hAnsiTheme="minorHAnsi"/>
        </w:rPr>
        <w:t>S</w:t>
      </w:r>
      <w:r w:rsidR="002C66DE">
        <w:rPr>
          <w:rFonts w:asciiTheme="minorHAnsi" w:hAnsiTheme="minorHAnsi"/>
        </w:rPr>
        <w:t>upport and Waste Management/</w:t>
      </w:r>
      <w:r w:rsidR="002C66DE" w:rsidRPr="00A465D8">
        <w:rPr>
          <w:rFonts w:asciiTheme="minorHAnsi" w:hAnsiTheme="minorHAnsi"/>
        </w:rPr>
        <w:t xml:space="preserve">Remediation Services (7.11% or 94,319 jobs). </w:t>
      </w:r>
    </w:p>
    <w:p w:rsidR="002C66DE" w:rsidRDefault="002C66DE" w:rsidP="00A465D8">
      <w:pPr>
        <w:contextualSpacing/>
        <w:rPr>
          <w:rFonts w:asciiTheme="minorHAnsi" w:hAnsiTheme="minorHAnsi"/>
        </w:rPr>
      </w:pPr>
    </w:p>
    <w:p w:rsidR="00A465D8" w:rsidRPr="00A465D8" w:rsidRDefault="00095B19" w:rsidP="002C66DE">
      <w:pPr>
        <w:contextualSpacing/>
        <w:jc w:val="both"/>
        <w:rPr>
          <w:rFonts w:asciiTheme="minorHAnsi" w:hAnsiTheme="minorHAnsi"/>
        </w:rPr>
      </w:pPr>
      <w:r>
        <w:rPr>
          <w:rFonts w:asciiTheme="minorHAnsi" w:hAnsiTheme="minorHAnsi"/>
        </w:rPr>
        <w:t>Between 2010 and 2015, the top five</w:t>
      </w:r>
      <w:r w:rsidR="00A465D8" w:rsidRPr="00A465D8">
        <w:rPr>
          <w:rFonts w:asciiTheme="minorHAnsi" w:hAnsiTheme="minorHAnsi"/>
        </w:rPr>
        <w:t xml:space="preserve"> industries for employment in the region grew by the following: Government (-0.14% or -330 jobs), Retail Trade (11% or 16,642 jobs), Health Care and Social Assistance (45% or 53,075 jobs), Accommodation and Food Services (23% or 24,840 jobs) and </w:t>
      </w:r>
      <w:r w:rsidR="005F4898">
        <w:rPr>
          <w:rFonts w:asciiTheme="minorHAnsi" w:hAnsiTheme="minorHAnsi"/>
        </w:rPr>
        <w:t xml:space="preserve">Administrative / </w:t>
      </w:r>
      <w:r w:rsidR="005F4898" w:rsidRPr="00A465D8">
        <w:rPr>
          <w:rFonts w:asciiTheme="minorHAnsi" w:hAnsiTheme="minorHAnsi"/>
        </w:rPr>
        <w:t>S</w:t>
      </w:r>
      <w:r w:rsidR="005F4898">
        <w:rPr>
          <w:rFonts w:asciiTheme="minorHAnsi" w:hAnsiTheme="minorHAnsi"/>
        </w:rPr>
        <w:t xml:space="preserve">upport and Waste Management / </w:t>
      </w:r>
      <w:r w:rsidR="005F4898" w:rsidRPr="00A465D8">
        <w:rPr>
          <w:rFonts w:asciiTheme="minorHAnsi" w:hAnsiTheme="minorHAnsi"/>
        </w:rPr>
        <w:t>Remediation Services</w:t>
      </w:r>
      <w:r w:rsidR="005F4898">
        <w:rPr>
          <w:rFonts w:asciiTheme="minorHAnsi" w:hAnsiTheme="minorHAnsi"/>
        </w:rPr>
        <w:t xml:space="preserve"> (21% or 16,430 jobs). </w:t>
      </w:r>
      <w:r w:rsidR="005F4898" w:rsidRPr="00A465D8">
        <w:rPr>
          <w:rFonts w:asciiTheme="minorHAnsi" w:hAnsiTheme="minorHAnsi"/>
        </w:rPr>
        <w:t xml:space="preserve">Manufacturing </w:t>
      </w:r>
      <w:r w:rsidR="005F4898">
        <w:rPr>
          <w:rFonts w:asciiTheme="minorHAnsi" w:hAnsiTheme="minorHAnsi"/>
        </w:rPr>
        <w:t>dropped from the</w:t>
      </w:r>
      <w:r>
        <w:rPr>
          <w:rFonts w:asciiTheme="minorHAnsi" w:hAnsiTheme="minorHAnsi"/>
        </w:rPr>
        <w:t xml:space="preserve"> fifth</w:t>
      </w:r>
      <w:r w:rsidR="005F4898" w:rsidRPr="00A465D8">
        <w:rPr>
          <w:rFonts w:asciiTheme="minorHAnsi" w:hAnsiTheme="minorHAnsi"/>
        </w:rPr>
        <w:t xml:space="preserve"> ranked </w:t>
      </w:r>
      <w:r w:rsidR="005F4898">
        <w:rPr>
          <w:rFonts w:asciiTheme="minorHAnsi" w:hAnsiTheme="minorHAnsi"/>
        </w:rPr>
        <w:t xml:space="preserve">employment </w:t>
      </w:r>
      <w:r w:rsidR="005F4898" w:rsidRPr="00A465D8">
        <w:rPr>
          <w:rFonts w:asciiTheme="minorHAnsi" w:hAnsiTheme="minorHAnsi"/>
        </w:rPr>
        <w:t>industry in the region</w:t>
      </w:r>
      <w:r w:rsidR="005F4898">
        <w:rPr>
          <w:rFonts w:asciiTheme="minorHAnsi" w:hAnsiTheme="minorHAnsi"/>
        </w:rPr>
        <w:t xml:space="preserve"> to the 6</w:t>
      </w:r>
      <w:r w:rsidR="005F4898" w:rsidRPr="005F4898">
        <w:rPr>
          <w:rFonts w:asciiTheme="minorHAnsi" w:hAnsiTheme="minorHAnsi"/>
          <w:vertAlign w:val="superscript"/>
        </w:rPr>
        <w:t>th</w:t>
      </w:r>
      <w:r w:rsidR="005F4898">
        <w:rPr>
          <w:rFonts w:asciiTheme="minorHAnsi" w:hAnsiTheme="minorHAnsi"/>
        </w:rPr>
        <w:t xml:space="preserve"> ranked employment industry</w:t>
      </w:r>
      <w:r w:rsidR="005F4898" w:rsidRPr="00A465D8">
        <w:rPr>
          <w:rFonts w:asciiTheme="minorHAnsi" w:hAnsiTheme="minorHAnsi"/>
        </w:rPr>
        <w:t>.</w:t>
      </w:r>
    </w:p>
    <w:p w:rsidR="00A465D8" w:rsidRPr="00A465D8" w:rsidRDefault="00A465D8" w:rsidP="00A465D8">
      <w:pPr>
        <w:contextualSpacing/>
        <w:rPr>
          <w:rFonts w:asciiTheme="minorHAnsi" w:hAnsiTheme="minorHAnsi"/>
        </w:rPr>
      </w:pPr>
    </w:p>
    <w:p w:rsidR="005F4898" w:rsidRDefault="00095B19" w:rsidP="005F4898">
      <w:pPr>
        <w:contextualSpacing/>
        <w:jc w:val="both"/>
        <w:rPr>
          <w:rFonts w:asciiTheme="minorHAnsi" w:hAnsiTheme="minorHAnsi"/>
        </w:rPr>
      </w:pPr>
      <w:r>
        <w:rPr>
          <w:rFonts w:asciiTheme="minorHAnsi" w:hAnsiTheme="minorHAnsi"/>
        </w:rPr>
        <w:t>By 2025, the top five</w:t>
      </w:r>
      <w:r w:rsidR="00A465D8" w:rsidRPr="00A465D8">
        <w:rPr>
          <w:rFonts w:asciiTheme="minorHAnsi" w:hAnsiTheme="minorHAnsi"/>
        </w:rPr>
        <w:t xml:space="preserve"> </w:t>
      </w:r>
      <w:r w:rsidR="005F4898">
        <w:rPr>
          <w:rFonts w:asciiTheme="minorHAnsi" w:hAnsiTheme="minorHAnsi"/>
        </w:rPr>
        <w:t xml:space="preserve">employment </w:t>
      </w:r>
      <w:r w:rsidR="00A465D8" w:rsidRPr="00A465D8">
        <w:rPr>
          <w:rFonts w:asciiTheme="minorHAnsi" w:hAnsiTheme="minorHAnsi"/>
        </w:rPr>
        <w:t xml:space="preserve">industries are projected to be the following: Government (15.96% or 244,893 jobs), Health Care and Social Assistance (14.48% or 222,162 jobs), Retail Trade (13.28% or 203,840 jobs), Accommodation and Food Services (10.28% or 157,773 jobs) </w:t>
      </w:r>
      <w:r w:rsidR="005E4864">
        <w:rPr>
          <w:rFonts w:asciiTheme="minorHAnsi" w:hAnsiTheme="minorHAnsi"/>
        </w:rPr>
        <w:t>and Administrative/</w:t>
      </w:r>
      <w:r w:rsidR="005E4864" w:rsidRPr="00A465D8">
        <w:rPr>
          <w:rFonts w:asciiTheme="minorHAnsi" w:hAnsiTheme="minorHAnsi"/>
        </w:rPr>
        <w:t>S</w:t>
      </w:r>
      <w:r w:rsidR="005E4864">
        <w:rPr>
          <w:rFonts w:asciiTheme="minorHAnsi" w:hAnsiTheme="minorHAnsi"/>
        </w:rPr>
        <w:t>upport and Waste Management/</w:t>
      </w:r>
      <w:r w:rsidR="005E4864" w:rsidRPr="00A465D8">
        <w:rPr>
          <w:rFonts w:asciiTheme="minorHAnsi" w:hAnsiTheme="minorHAnsi"/>
        </w:rPr>
        <w:t>Remediation Services</w:t>
      </w:r>
      <w:r w:rsidR="00A465D8" w:rsidRPr="00A465D8">
        <w:rPr>
          <w:rFonts w:asciiTheme="minorHAnsi" w:hAnsiTheme="minorHAnsi"/>
        </w:rPr>
        <w:t xml:space="preserve"> (7.41% or 113,626 jobs).</w:t>
      </w:r>
    </w:p>
    <w:p w:rsidR="005E4864" w:rsidRDefault="005E4864" w:rsidP="005F4898">
      <w:pPr>
        <w:contextualSpacing/>
        <w:jc w:val="both"/>
        <w:rPr>
          <w:rFonts w:asciiTheme="minorHAnsi" w:hAnsiTheme="minorHAnsi"/>
        </w:rPr>
      </w:pPr>
    </w:p>
    <w:p w:rsidR="005F4898" w:rsidRDefault="005E4864" w:rsidP="005F4898">
      <w:pPr>
        <w:contextualSpacing/>
        <w:jc w:val="both"/>
        <w:rPr>
          <w:rFonts w:asciiTheme="minorHAnsi" w:hAnsiTheme="minorHAnsi"/>
        </w:rPr>
      </w:pPr>
      <w:r>
        <w:rPr>
          <w:rFonts w:asciiTheme="minorHAnsi" w:hAnsiTheme="minorHAnsi"/>
        </w:rPr>
        <w:t>From 2015 to 2025, t</w:t>
      </w:r>
      <w:r w:rsidR="005F4898">
        <w:rPr>
          <w:rFonts w:asciiTheme="minorHAnsi" w:hAnsiTheme="minorHAnsi"/>
        </w:rPr>
        <w:t>he largest numerical job growth for regional employment by industry is expected to be the following: Health Care and Social Assistance (51,731 jobs or 30</w:t>
      </w:r>
      <w:r>
        <w:rPr>
          <w:rFonts w:asciiTheme="minorHAnsi" w:hAnsiTheme="minorHAnsi"/>
        </w:rPr>
        <w:t>.35</w:t>
      </w:r>
      <w:r w:rsidR="005F4898">
        <w:rPr>
          <w:rFonts w:asciiTheme="minorHAnsi" w:hAnsiTheme="minorHAnsi"/>
        </w:rPr>
        <w:t>%),</w:t>
      </w:r>
      <w:r>
        <w:rPr>
          <w:rFonts w:asciiTheme="minorHAnsi" w:hAnsiTheme="minorHAnsi"/>
        </w:rPr>
        <w:t xml:space="preserve"> Retail Trade (32,435 jobs or 18.92</w:t>
      </w:r>
      <w:r w:rsidR="005F4898">
        <w:rPr>
          <w:rFonts w:asciiTheme="minorHAnsi" w:hAnsiTheme="minorHAnsi"/>
        </w:rPr>
        <w:t xml:space="preserve">%), </w:t>
      </w:r>
      <w:r>
        <w:rPr>
          <w:rFonts w:asciiTheme="minorHAnsi" w:hAnsiTheme="minorHAnsi"/>
        </w:rPr>
        <w:t>Accommodation and Food Services (</w:t>
      </w:r>
      <w:r w:rsidR="005F4898">
        <w:rPr>
          <w:rFonts w:asciiTheme="minorHAnsi" w:hAnsiTheme="minorHAnsi"/>
        </w:rPr>
        <w:t xml:space="preserve">25,363 jobs or </w:t>
      </w:r>
      <w:r>
        <w:rPr>
          <w:rFonts w:asciiTheme="minorHAnsi" w:hAnsiTheme="minorHAnsi"/>
        </w:rPr>
        <w:t>19.15%), Transportation and Warehousing (23,046 jobs or 28.75%), and Administrative/</w:t>
      </w:r>
      <w:r w:rsidRPr="00A465D8">
        <w:rPr>
          <w:rFonts w:asciiTheme="minorHAnsi" w:hAnsiTheme="minorHAnsi"/>
        </w:rPr>
        <w:t>S</w:t>
      </w:r>
      <w:r>
        <w:rPr>
          <w:rFonts w:asciiTheme="minorHAnsi" w:hAnsiTheme="minorHAnsi"/>
        </w:rPr>
        <w:t>upport and Waste Management/</w:t>
      </w:r>
      <w:r w:rsidRPr="00A465D8">
        <w:rPr>
          <w:rFonts w:asciiTheme="minorHAnsi" w:hAnsiTheme="minorHAnsi"/>
        </w:rPr>
        <w:t>Remediation Services</w:t>
      </w:r>
      <w:r>
        <w:rPr>
          <w:rFonts w:asciiTheme="minorHAnsi" w:hAnsiTheme="minorHAnsi"/>
        </w:rPr>
        <w:t xml:space="preserve"> (19,307 jobs or 20.47%)</w:t>
      </w:r>
    </w:p>
    <w:p w:rsidR="005E4864" w:rsidRPr="005F4898" w:rsidRDefault="005E4864" w:rsidP="005F4898">
      <w:pPr>
        <w:contextualSpacing/>
        <w:jc w:val="both"/>
        <w:rPr>
          <w:rFonts w:asciiTheme="minorHAnsi" w:hAnsiTheme="minorHAnsi"/>
        </w:rPr>
      </w:pP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color w:val="008000"/>
        </w:rPr>
        <w:t>Exhibit 4.XX Regional Employment Projections by Industry (2010-2025)</w:t>
      </w:r>
    </w:p>
    <w:tbl>
      <w:tblPr>
        <w:tblW w:w="10136" w:type="dxa"/>
        <w:jc w:val="center"/>
        <w:tblInd w:w="93" w:type="dxa"/>
        <w:tblLook w:val="04A0" w:firstRow="1" w:lastRow="0" w:firstColumn="1" w:lastColumn="0" w:noHBand="0" w:noVBand="1"/>
      </w:tblPr>
      <w:tblGrid>
        <w:gridCol w:w="5080"/>
        <w:gridCol w:w="1110"/>
        <w:gridCol w:w="1110"/>
        <w:gridCol w:w="962"/>
        <w:gridCol w:w="1110"/>
        <w:gridCol w:w="942"/>
      </w:tblGrid>
      <w:tr w:rsidR="005F4898" w:rsidRPr="00A465D8" w:rsidTr="005F4898">
        <w:trPr>
          <w:trHeight w:val="765"/>
          <w:jc w:val="center"/>
        </w:trPr>
        <w:tc>
          <w:tcPr>
            <w:tcW w:w="5080" w:type="dxa"/>
            <w:tcBorders>
              <w:top w:val="nil"/>
              <w:left w:val="nil"/>
              <w:bottom w:val="nil"/>
              <w:right w:val="nil"/>
            </w:tcBorders>
            <w:shd w:val="clear" w:color="auto" w:fill="525252" w:themeFill="accent3" w:themeFillShade="80"/>
            <w:noWrap/>
            <w:vAlign w:val="center"/>
            <w:hideMark/>
          </w:tcPr>
          <w:p w:rsidR="005F4898" w:rsidRPr="00A465D8" w:rsidRDefault="005F489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Description</w:t>
            </w:r>
          </w:p>
        </w:tc>
        <w:tc>
          <w:tcPr>
            <w:tcW w:w="1110" w:type="dxa"/>
            <w:tcBorders>
              <w:top w:val="nil"/>
              <w:left w:val="nil"/>
              <w:bottom w:val="nil"/>
              <w:right w:val="nil"/>
            </w:tcBorders>
            <w:shd w:val="clear" w:color="auto" w:fill="525252" w:themeFill="accent3" w:themeFillShade="80"/>
            <w:noWrap/>
            <w:vAlign w:val="center"/>
            <w:hideMark/>
          </w:tcPr>
          <w:p w:rsidR="005F4898" w:rsidRDefault="005F489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 xml:space="preserve">2010 </w:t>
            </w:r>
          </w:p>
          <w:p w:rsidR="005F4898" w:rsidRPr="00A465D8" w:rsidRDefault="005F489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Jobs</w:t>
            </w:r>
          </w:p>
        </w:tc>
        <w:tc>
          <w:tcPr>
            <w:tcW w:w="1110" w:type="dxa"/>
            <w:tcBorders>
              <w:top w:val="nil"/>
              <w:left w:val="nil"/>
              <w:bottom w:val="nil"/>
              <w:right w:val="nil"/>
            </w:tcBorders>
            <w:shd w:val="clear" w:color="auto" w:fill="525252" w:themeFill="accent3" w:themeFillShade="80"/>
            <w:noWrap/>
            <w:vAlign w:val="center"/>
            <w:hideMark/>
          </w:tcPr>
          <w:p w:rsidR="005F4898" w:rsidRDefault="005F4898" w:rsidP="00A465D8">
            <w:pPr>
              <w:spacing w:after="0" w:line="240" w:lineRule="auto"/>
              <w:jc w:val="center"/>
              <w:rPr>
                <w:rFonts w:asciiTheme="minorHAnsi" w:eastAsia="Times New Roman" w:hAnsiTheme="minorHAnsi" w:cs="Arial"/>
                <w:color w:val="FFFFFF" w:themeColor="background1"/>
              </w:rPr>
            </w:pPr>
            <w:r>
              <w:rPr>
                <w:rFonts w:asciiTheme="minorHAnsi" w:eastAsia="Times New Roman" w:hAnsiTheme="minorHAnsi" w:cs="Arial"/>
                <w:color w:val="FFFFFF" w:themeColor="background1"/>
              </w:rPr>
              <w:t>2015</w:t>
            </w:r>
          </w:p>
          <w:p w:rsidR="005F4898" w:rsidRPr="00A465D8" w:rsidRDefault="005F489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Jobs</w:t>
            </w:r>
          </w:p>
        </w:tc>
        <w:tc>
          <w:tcPr>
            <w:tcW w:w="962" w:type="dxa"/>
            <w:tcBorders>
              <w:top w:val="nil"/>
              <w:left w:val="nil"/>
              <w:bottom w:val="nil"/>
              <w:right w:val="nil"/>
            </w:tcBorders>
            <w:shd w:val="clear" w:color="auto" w:fill="525252" w:themeFill="accent3" w:themeFillShade="80"/>
            <w:vAlign w:val="center"/>
          </w:tcPr>
          <w:p w:rsidR="005F4898" w:rsidRPr="00A465D8" w:rsidRDefault="005F4898" w:rsidP="00CC1B21">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2010 - 2015 Change</w:t>
            </w:r>
          </w:p>
        </w:tc>
        <w:tc>
          <w:tcPr>
            <w:tcW w:w="1110" w:type="dxa"/>
            <w:tcBorders>
              <w:top w:val="nil"/>
              <w:left w:val="nil"/>
              <w:bottom w:val="nil"/>
              <w:right w:val="nil"/>
            </w:tcBorders>
            <w:shd w:val="clear" w:color="auto" w:fill="525252" w:themeFill="accent3" w:themeFillShade="80"/>
            <w:vAlign w:val="center"/>
          </w:tcPr>
          <w:p w:rsidR="005F4898" w:rsidRDefault="005F4898" w:rsidP="00CC1B21">
            <w:pPr>
              <w:spacing w:after="0" w:line="240" w:lineRule="auto"/>
              <w:jc w:val="center"/>
              <w:rPr>
                <w:rFonts w:asciiTheme="minorHAnsi" w:eastAsia="Times New Roman" w:hAnsiTheme="minorHAnsi" w:cs="Arial"/>
                <w:color w:val="FFFFFF" w:themeColor="background1"/>
              </w:rPr>
            </w:pPr>
            <w:r>
              <w:rPr>
                <w:rFonts w:asciiTheme="minorHAnsi" w:eastAsia="Times New Roman" w:hAnsiTheme="minorHAnsi" w:cs="Arial"/>
                <w:color w:val="FFFFFF" w:themeColor="background1"/>
              </w:rPr>
              <w:t>2025</w:t>
            </w:r>
          </w:p>
          <w:p w:rsidR="005F4898" w:rsidRPr="00A465D8" w:rsidRDefault="005F4898" w:rsidP="00CC1B21">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Jobs</w:t>
            </w:r>
          </w:p>
        </w:tc>
        <w:tc>
          <w:tcPr>
            <w:tcW w:w="764" w:type="dxa"/>
            <w:tcBorders>
              <w:top w:val="nil"/>
              <w:left w:val="nil"/>
              <w:bottom w:val="nil"/>
              <w:right w:val="nil"/>
            </w:tcBorders>
            <w:shd w:val="clear" w:color="auto" w:fill="525252" w:themeFill="accent3" w:themeFillShade="80"/>
            <w:vAlign w:val="center"/>
            <w:hideMark/>
          </w:tcPr>
          <w:p w:rsidR="005F4898" w:rsidRPr="00A465D8" w:rsidRDefault="005F489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2015 - 2025 Change</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Government</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234,183</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233,853</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(330)</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244,893</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11,040</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Health Care and Social Assistance</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117,356</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170,431</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53,075</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222,162</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51,731</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Retail Trade</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154,763</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171,405</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16,642</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203,840</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32,435</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Accommodation and Food Services</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107,570</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132,410</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24,840</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157,773</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25,363</w:t>
            </w:r>
          </w:p>
        </w:tc>
      </w:tr>
      <w:tr w:rsidR="005F4898" w:rsidRPr="00A465D8" w:rsidTr="005F4898">
        <w:trPr>
          <w:trHeight w:val="600"/>
          <w:jc w:val="center"/>
        </w:trPr>
        <w:tc>
          <w:tcPr>
            <w:tcW w:w="5080" w:type="dxa"/>
            <w:tcBorders>
              <w:top w:val="nil"/>
              <w:left w:val="nil"/>
              <w:bottom w:val="nil"/>
              <w:right w:val="nil"/>
            </w:tcBorders>
            <w:shd w:val="clear" w:color="auto" w:fill="DBDBDB" w:themeFill="accent3" w:themeFillTint="66"/>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Administrative and Support and Waste Management and Remediation Services</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77,889</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94,319</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16,430</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113,626</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19,307</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Transportation and Warehousing</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55,804</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80,133</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24,329</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103,179</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23,046</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Construction</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59,611</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84,152</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24,541</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92,042</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7,890</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Manufacturing</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83,940</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93,624</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9,684</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91,421</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(2,203)</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Wholesale Trade</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48,722</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62,436</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13,714</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77,877</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15,441</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Professional, Scientific, and Technical Services</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34,961</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42,551</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7,590</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52,089</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9,538</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Other Services (except Public Administration)</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51,914</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35,982</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(15,932)</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40,986</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5,004</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Finance and Insurance</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25,569</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28,298</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2,729</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32,091</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3,793</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Educational Services</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13,126</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16,109</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2,983</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20,399</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4,290</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Arts, Entertainment, and Recreation</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15,710</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18,009</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2,299</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19,863</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1,854</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Real E</w:t>
            </w:r>
            <w:r w:rsidR="00FB6DA3">
              <w:rPr>
                <w:rFonts w:asciiTheme="minorHAnsi" w:eastAsia="Times New Roman" w:hAnsiTheme="minorHAnsi" w:cs="Times New Roman"/>
              </w:rPr>
              <w:t>state</w:t>
            </w:r>
            <w:r w:rsidRPr="00A465D8">
              <w:rPr>
                <w:rFonts w:asciiTheme="minorHAnsi" w:eastAsia="Times New Roman" w:hAnsiTheme="minorHAnsi" w:cs="Times New Roman"/>
              </w:rPr>
              <w:t xml:space="preserve"> and Rental and Leasing</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15,511</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16,859</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1,348</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18,094</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1,235</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Crop and Animal Production</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14,822</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14,291</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(531)</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11,693</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(2,598)</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Information</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16,046</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11,260</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(4,786)</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10,652</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(608)</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Management of Companies and Enterprises</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8,632</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9,148</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516</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8,679</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(469)</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Unclassified Industry</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2,251</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5,582</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3,331</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6,189</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607</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Utilities</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5,754</w:t>
            </w:r>
          </w:p>
        </w:tc>
        <w:tc>
          <w:tcPr>
            <w:tcW w:w="111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5,493</w:t>
            </w:r>
          </w:p>
        </w:tc>
        <w:tc>
          <w:tcPr>
            <w:tcW w:w="962"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color w:val="FF0000"/>
              </w:rPr>
              <w:t xml:space="preserve"> (261)</w:t>
            </w:r>
          </w:p>
        </w:tc>
        <w:tc>
          <w:tcPr>
            <w:tcW w:w="1110" w:type="dxa"/>
            <w:tcBorders>
              <w:top w:val="nil"/>
              <w:left w:val="nil"/>
              <w:bottom w:val="nil"/>
              <w:right w:val="nil"/>
            </w:tcBorders>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5,668</w:t>
            </w:r>
          </w:p>
        </w:tc>
        <w:tc>
          <w:tcPr>
            <w:tcW w:w="764"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175</w:t>
            </w:r>
          </w:p>
        </w:tc>
      </w:tr>
      <w:tr w:rsidR="005F4898" w:rsidRPr="00A465D8" w:rsidTr="005F4898">
        <w:trPr>
          <w:trHeight w:val="300"/>
          <w:jc w:val="center"/>
        </w:trPr>
        <w:tc>
          <w:tcPr>
            <w:tcW w:w="508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Mining, Quarrying, and Oil and Gas Extraction</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1,017</w:t>
            </w:r>
          </w:p>
        </w:tc>
        <w:tc>
          <w:tcPr>
            <w:tcW w:w="1110"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1,100</w:t>
            </w:r>
          </w:p>
        </w:tc>
        <w:tc>
          <w:tcPr>
            <w:tcW w:w="962"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83</w:t>
            </w:r>
          </w:p>
        </w:tc>
        <w:tc>
          <w:tcPr>
            <w:tcW w:w="1110" w:type="dxa"/>
            <w:tcBorders>
              <w:top w:val="nil"/>
              <w:left w:val="nil"/>
              <w:bottom w:val="nil"/>
              <w:right w:val="nil"/>
            </w:tcBorders>
            <w:shd w:val="clear" w:color="auto" w:fill="DBDBDB" w:themeFill="accent3" w:themeFillTint="66"/>
            <w:vAlign w:val="center"/>
          </w:tcPr>
          <w:p w:rsidR="005F4898" w:rsidRPr="00A465D8" w:rsidRDefault="005F4898" w:rsidP="00CC1B21">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1,202</w:t>
            </w:r>
          </w:p>
        </w:tc>
        <w:tc>
          <w:tcPr>
            <w:tcW w:w="764" w:type="dxa"/>
            <w:tcBorders>
              <w:top w:val="nil"/>
              <w:left w:val="nil"/>
              <w:bottom w:val="nil"/>
              <w:right w:val="nil"/>
            </w:tcBorders>
            <w:shd w:val="clear" w:color="auto" w:fill="DBDBDB" w:themeFill="accent3" w:themeFillTint="66"/>
            <w:noWrap/>
            <w:vAlign w:val="center"/>
            <w:hideMark/>
          </w:tcPr>
          <w:p w:rsidR="005F4898" w:rsidRPr="00A465D8" w:rsidRDefault="005F4898" w:rsidP="00A465D8">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102</w:t>
            </w:r>
          </w:p>
        </w:tc>
      </w:tr>
      <w:tr w:rsidR="005F4898" w:rsidRPr="00A465D8" w:rsidTr="005F4898">
        <w:trPr>
          <w:trHeight w:val="300"/>
          <w:jc w:val="center"/>
        </w:trPr>
        <w:tc>
          <w:tcPr>
            <w:tcW w:w="5080" w:type="dxa"/>
            <w:tcBorders>
              <w:top w:val="nil"/>
              <w:left w:val="nil"/>
              <w:bottom w:val="nil"/>
              <w:right w:val="nil"/>
            </w:tcBorders>
            <w:shd w:val="clear" w:color="auto" w:fill="auto"/>
            <w:noWrap/>
            <w:vAlign w:val="center"/>
            <w:hideMark/>
          </w:tcPr>
          <w:p w:rsidR="005F4898" w:rsidRPr="00A465D8" w:rsidRDefault="005F4898" w:rsidP="00A465D8">
            <w:pPr>
              <w:spacing w:after="0" w:line="240" w:lineRule="auto"/>
              <w:rPr>
                <w:rFonts w:asciiTheme="minorHAnsi" w:eastAsia="Times New Roman" w:hAnsiTheme="minorHAnsi" w:cs="Times New Roman"/>
                <w:b/>
              </w:rPr>
            </w:pPr>
            <w:r w:rsidRPr="00A465D8">
              <w:rPr>
                <w:rFonts w:asciiTheme="minorHAnsi" w:eastAsia="Times New Roman" w:hAnsiTheme="minorHAnsi" w:cs="Times New Roman"/>
                <w:b/>
              </w:rPr>
              <w:t>Total</w:t>
            </w:r>
          </w:p>
        </w:tc>
        <w:tc>
          <w:tcPr>
            <w:tcW w:w="1110" w:type="dxa"/>
            <w:tcBorders>
              <w:top w:val="nil"/>
              <w:left w:val="nil"/>
              <w:bottom w:val="nil"/>
              <w:right w:val="nil"/>
            </w:tcBorders>
            <w:shd w:val="clear" w:color="auto" w:fill="auto"/>
            <w:noWrap/>
            <w:vAlign w:val="bottom"/>
            <w:hideMark/>
          </w:tcPr>
          <w:p w:rsidR="005F4898" w:rsidRPr="00A465D8" w:rsidRDefault="005F4898" w:rsidP="00A465D8">
            <w:pPr>
              <w:spacing w:after="0" w:line="240" w:lineRule="auto"/>
              <w:jc w:val="center"/>
              <w:rPr>
                <w:rFonts w:asciiTheme="minorHAnsi" w:eastAsia="Times New Roman" w:hAnsiTheme="minorHAnsi" w:cs="Times New Roman"/>
                <w:b/>
              </w:rPr>
            </w:pPr>
            <w:r w:rsidRPr="00A465D8">
              <w:rPr>
                <w:rFonts w:asciiTheme="minorHAnsi" w:eastAsia="Times New Roman" w:hAnsiTheme="minorHAnsi" w:cs="Times New Roman"/>
                <w:b/>
              </w:rPr>
              <w:t>1,145,149</w:t>
            </w:r>
          </w:p>
        </w:tc>
        <w:tc>
          <w:tcPr>
            <w:tcW w:w="1110" w:type="dxa"/>
            <w:tcBorders>
              <w:top w:val="nil"/>
              <w:left w:val="nil"/>
              <w:bottom w:val="nil"/>
              <w:right w:val="nil"/>
            </w:tcBorders>
            <w:shd w:val="clear" w:color="auto" w:fill="auto"/>
            <w:noWrap/>
            <w:vAlign w:val="bottom"/>
            <w:hideMark/>
          </w:tcPr>
          <w:p w:rsidR="005F4898" w:rsidRPr="00A465D8" w:rsidRDefault="005F4898" w:rsidP="00A465D8">
            <w:pPr>
              <w:spacing w:after="0" w:line="240" w:lineRule="auto"/>
              <w:jc w:val="center"/>
              <w:rPr>
                <w:rFonts w:asciiTheme="minorHAnsi" w:eastAsia="Times New Roman" w:hAnsiTheme="minorHAnsi" w:cs="Times New Roman"/>
                <w:b/>
              </w:rPr>
            </w:pPr>
            <w:r w:rsidRPr="00A465D8">
              <w:rPr>
                <w:rFonts w:asciiTheme="minorHAnsi" w:eastAsia="Times New Roman" w:hAnsiTheme="minorHAnsi" w:cs="Times New Roman"/>
                <w:b/>
              </w:rPr>
              <w:t>1,327,444</w:t>
            </w:r>
          </w:p>
        </w:tc>
        <w:tc>
          <w:tcPr>
            <w:tcW w:w="962" w:type="dxa"/>
            <w:tcBorders>
              <w:top w:val="nil"/>
              <w:left w:val="nil"/>
              <w:bottom w:val="nil"/>
              <w:right w:val="nil"/>
            </w:tcBorders>
            <w:vAlign w:val="bottom"/>
          </w:tcPr>
          <w:p w:rsidR="005F4898" w:rsidRPr="00A465D8" w:rsidRDefault="005F4898" w:rsidP="00CC1B21">
            <w:pPr>
              <w:spacing w:after="0" w:line="240" w:lineRule="auto"/>
              <w:jc w:val="center"/>
              <w:rPr>
                <w:rFonts w:asciiTheme="minorHAnsi" w:eastAsia="Times New Roman" w:hAnsiTheme="minorHAnsi" w:cs="Times New Roman"/>
                <w:b/>
              </w:rPr>
            </w:pPr>
            <w:r w:rsidRPr="00A465D8">
              <w:rPr>
                <w:rFonts w:asciiTheme="minorHAnsi" w:eastAsia="Times New Roman" w:hAnsiTheme="minorHAnsi" w:cs="Times New Roman"/>
                <w:b/>
              </w:rPr>
              <w:t>182,294</w:t>
            </w:r>
          </w:p>
        </w:tc>
        <w:tc>
          <w:tcPr>
            <w:tcW w:w="1110" w:type="dxa"/>
            <w:tcBorders>
              <w:top w:val="nil"/>
              <w:left w:val="nil"/>
              <w:bottom w:val="nil"/>
              <w:right w:val="nil"/>
            </w:tcBorders>
            <w:vAlign w:val="bottom"/>
          </w:tcPr>
          <w:p w:rsidR="005F4898" w:rsidRPr="00A465D8" w:rsidRDefault="005F4898" w:rsidP="00CC1B21">
            <w:pPr>
              <w:spacing w:after="0" w:line="240" w:lineRule="auto"/>
              <w:jc w:val="center"/>
              <w:rPr>
                <w:rFonts w:asciiTheme="minorHAnsi" w:eastAsia="Times New Roman" w:hAnsiTheme="minorHAnsi" w:cs="Times New Roman"/>
                <w:b/>
              </w:rPr>
            </w:pPr>
            <w:r w:rsidRPr="00A465D8">
              <w:rPr>
                <w:rFonts w:asciiTheme="minorHAnsi" w:eastAsia="Times New Roman" w:hAnsiTheme="minorHAnsi" w:cs="Times New Roman"/>
                <w:b/>
              </w:rPr>
              <w:t>1,534,418</w:t>
            </w:r>
          </w:p>
        </w:tc>
        <w:tc>
          <w:tcPr>
            <w:tcW w:w="764" w:type="dxa"/>
            <w:tcBorders>
              <w:top w:val="nil"/>
              <w:left w:val="nil"/>
              <w:bottom w:val="nil"/>
              <w:right w:val="nil"/>
            </w:tcBorders>
            <w:shd w:val="clear" w:color="auto" w:fill="auto"/>
            <w:noWrap/>
            <w:vAlign w:val="bottom"/>
            <w:hideMark/>
          </w:tcPr>
          <w:p w:rsidR="005F4898" w:rsidRPr="00A465D8" w:rsidRDefault="005F4898" w:rsidP="00A465D8">
            <w:pPr>
              <w:spacing w:after="0" w:line="240" w:lineRule="auto"/>
              <w:jc w:val="center"/>
              <w:rPr>
                <w:rFonts w:asciiTheme="minorHAnsi" w:eastAsia="Times New Roman" w:hAnsiTheme="minorHAnsi" w:cs="Times New Roman"/>
                <w:b/>
              </w:rPr>
            </w:pPr>
            <w:r w:rsidRPr="00A465D8">
              <w:rPr>
                <w:rFonts w:asciiTheme="minorHAnsi" w:eastAsia="Times New Roman" w:hAnsiTheme="minorHAnsi" w:cs="Times New Roman"/>
                <w:b/>
              </w:rPr>
              <w:t>206,973</w:t>
            </w:r>
          </w:p>
        </w:tc>
      </w:tr>
    </w:tbl>
    <w:p w:rsidR="00A465D8" w:rsidRPr="00A465D8" w:rsidRDefault="00A465D8" w:rsidP="00A465D8">
      <w:pPr>
        <w:contextualSpacing/>
        <w:jc w:val="center"/>
        <w:rPr>
          <w:rFonts w:asciiTheme="minorHAnsi" w:hAnsiTheme="minorHAnsi"/>
          <w:b/>
          <w:color w:val="008000"/>
        </w:rPr>
      </w:pPr>
    </w:p>
    <w:p w:rsidR="00A465D8" w:rsidRPr="00A465D8" w:rsidRDefault="00A465D8" w:rsidP="00A465D8">
      <w:pPr>
        <w:contextualSpacing/>
        <w:rPr>
          <w:rFonts w:asciiTheme="minorHAnsi" w:hAnsiTheme="minorHAnsi"/>
          <w:b/>
          <w:color w:val="008000"/>
        </w:rPr>
      </w:pPr>
      <w:r w:rsidRPr="00A465D8">
        <w:rPr>
          <w:rFonts w:asciiTheme="minorHAnsi" w:hAnsiTheme="minorHAnsi"/>
          <w:b/>
          <w:color w:val="008000"/>
        </w:rPr>
        <w:t>Occupation Projections</w:t>
      </w:r>
    </w:p>
    <w:p w:rsidR="005444B2" w:rsidRDefault="00A465D8" w:rsidP="00537BD5">
      <w:pPr>
        <w:contextualSpacing/>
        <w:jc w:val="both"/>
        <w:rPr>
          <w:rFonts w:asciiTheme="minorHAnsi" w:hAnsiTheme="minorHAnsi"/>
        </w:rPr>
      </w:pPr>
      <w:r w:rsidRPr="00A465D8">
        <w:rPr>
          <w:rFonts w:asciiTheme="minorHAnsi" w:hAnsiTheme="minorHAnsi"/>
        </w:rPr>
        <w:t xml:space="preserve">There are projected to be approximately 8,026 average annual job openings in the service area between 2015 and 2025. Annual openings are determined by the sum of new and replacement jobs in an occupation over the selected timeframe (2015 – 2025) divided by the number of years in the timeframe. Of these annual openings, </w:t>
      </w:r>
      <w:r w:rsidR="006D5C1E">
        <w:rPr>
          <w:rFonts w:asciiTheme="minorHAnsi" w:hAnsiTheme="minorHAnsi"/>
        </w:rPr>
        <w:t>5,020</w:t>
      </w:r>
      <w:r w:rsidRPr="00A465D8">
        <w:rPr>
          <w:rFonts w:asciiTheme="minorHAnsi" w:hAnsiTheme="minorHAnsi"/>
        </w:rPr>
        <w:t xml:space="preserve"> (</w:t>
      </w:r>
      <w:r w:rsidR="006D5C1E">
        <w:rPr>
          <w:rFonts w:asciiTheme="minorHAnsi" w:hAnsiTheme="minorHAnsi"/>
        </w:rPr>
        <w:t>62.54</w:t>
      </w:r>
      <w:r w:rsidRPr="00A465D8">
        <w:rPr>
          <w:rFonts w:asciiTheme="minorHAnsi" w:hAnsiTheme="minorHAnsi"/>
        </w:rPr>
        <w:t>%) have a typical entry level education of a</w:t>
      </w:r>
      <w:r w:rsidR="00EB54AD">
        <w:rPr>
          <w:rFonts w:asciiTheme="minorHAnsi" w:hAnsiTheme="minorHAnsi"/>
        </w:rPr>
        <w:t xml:space="preserve"> high school diploma/ </w:t>
      </w:r>
      <w:r w:rsidRPr="00A465D8">
        <w:rPr>
          <w:rFonts w:asciiTheme="minorHAnsi" w:hAnsiTheme="minorHAnsi"/>
        </w:rPr>
        <w:t>equivalent</w:t>
      </w:r>
      <w:r w:rsidR="00EB54AD">
        <w:rPr>
          <w:rFonts w:asciiTheme="minorHAnsi" w:hAnsiTheme="minorHAnsi"/>
        </w:rPr>
        <w:t xml:space="preserve"> or less</w:t>
      </w:r>
      <w:r w:rsidRPr="00A465D8">
        <w:rPr>
          <w:rFonts w:asciiTheme="minorHAnsi" w:hAnsiTheme="minorHAnsi"/>
        </w:rPr>
        <w:t xml:space="preserve">, 123 (1.54%) have a typical entry level education of some college, 765 (9.54%) have a typical entry level education of a postsecondary non-degree award, 451 (5.62%) have a typical entry </w:t>
      </w:r>
      <w:r w:rsidRPr="00A465D8">
        <w:rPr>
          <w:rFonts w:asciiTheme="minorHAnsi" w:hAnsiTheme="minorHAnsi"/>
        </w:rPr>
        <w:lastRenderedPageBreak/>
        <w:t xml:space="preserve">level education of an Associate’s degree, 1,208 (15.05%) have a typical entry level education of a Bachelor’s degree, </w:t>
      </w:r>
      <w:r w:rsidR="00EB54AD">
        <w:rPr>
          <w:rFonts w:asciiTheme="minorHAnsi" w:hAnsiTheme="minorHAnsi"/>
        </w:rPr>
        <w:t>and 459</w:t>
      </w:r>
      <w:r w:rsidRPr="00A465D8">
        <w:rPr>
          <w:rFonts w:asciiTheme="minorHAnsi" w:hAnsiTheme="minorHAnsi"/>
        </w:rPr>
        <w:t xml:space="preserve"> (</w:t>
      </w:r>
      <w:r w:rsidR="00EB54AD">
        <w:rPr>
          <w:rFonts w:asciiTheme="minorHAnsi" w:hAnsiTheme="minorHAnsi"/>
        </w:rPr>
        <w:t>5.72</w:t>
      </w:r>
      <w:r w:rsidRPr="00A465D8">
        <w:rPr>
          <w:rFonts w:asciiTheme="minorHAnsi" w:hAnsiTheme="minorHAnsi"/>
        </w:rPr>
        <w:t>%) have a typical entry level education of a Master’s degree</w:t>
      </w:r>
      <w:r w:rsidR="00EB54AD">
        <w:rPr>
          <w:rFonts w:asciiTheme="minorHAnsi" w:hAnsiTheme="minorHAnsi"/>
        </w:rPr>
        <w:t xml:space="preserve"> or higher</w:t>
      </w:r>
      <w:r w:rsidRPr="00A465D8">
        <w:rPr>
          <w:rFonts w:asciiTheme="minorHAnsi" w:hAnsiTheme="minorHAnsi"/>
        </w:rPr>
        <w:t xml:space="preserve">. </w:t>
      </w:r>
    </w:p>
    <w:p w:rsidR="005444B2" w:rsidRDefault="005444B2" w:rsidP="00537BD5">
      <w:pPr>
        <w:contextualSpacing/>
        <w:jc w:val="both"/>
        <w:rPr>
          <w:rFonts w:asciiTheme="minorHAnsi" w:hAnsiTheme="minorHAnsi"/>
        </w:rPr>
      </w:pPr>
    </w:p>
    <w:p w:rsidR="00A465D8" w:rsidRPr="00A465D8" w:rsidRDefault="00EB54AD" w:rsidP="00537BD5">
      <w:pPr>
        <w:contextualSpacing/>
        <w:jc w:val="both"/>
        <w:rPr>
          <w:rFonts w:asciiTheme="minorHAnsi" w:hAnsiTheme="minorHAnsi"/>
        </w:rPr>
      </w:pPr>
      <w:r>
        <w:rPr>
          <w:rFonts w:asciiTheme="minorHAnsi" w:hAnsiTheme="minorHAnsi"/>
        </w:rPr>
        <w:t xml:space="preserve">It should be </w:t>
      </w:r>
      <w:r w:rsidR="00A465D8" w:rsidRPr="00A465D8">
        <w:rPr>
          <w:rFonts w:asciiTheme="minorHAnsi" w:hAnsiTheme="minorHAnsi"/>
        </w:rPr>
        <w:t>note</w:t>
      </w:r>
      <w:r>
        <w:rPr>
          <w:rFonts w:asciiTheme="minorHAnsi" w:hAnsiTheme="minorHAnsi"/>
        </w:rPr>
        <w:t>d</w:t>
      </w:r>
      <w:r w:rsidR="00A465D8" w:rsidRPr="00A465D8">
        <w:rPr>
          <w:rFonts w:asciiTheme="minorHAnsi" w:hAnsiTheme="minorHAnsi"/>
        </w:rPr>
        <w:t xml:space="preserve"> that occupations with an average hourly wage of less than $12 were excluded, as were those occupations with insufficient data to determine average hourly wages.</w:t>
      </w:r>
      <w:r w:rsidR="005444B2">
        <w:rPr>
          <w:rFonts w:asciiTheme="minorHAnsi" w:hAnsiTheme="minorHAnsi"/>
        </w:rPr>
        <w:t xml:space="preserve">  Additionally, typical entry level education required is determined by the minimum qualifications identified by the U.S. Department of La</w:t>
      </w:r>
      <w:r w:rsidR="000A65F1">
        <w:rPr>
          <w:rFonts w:asciiTheme="minorHAnsi" w:hAnsiTheme="minorHAnsi"/>
        </w:rPr>
        <w:t>bor and Bureau of Labor Statistics.  Although a job may be identified as requiring a typical entry level education of high school diploma or equivalent, in many circumstances the Department of Labor and Bureau of Labor Statistics recommends some level of continuing higher education to be competitive for obtaining that particular job.</w:t>
      </w:r>
    </w:p>
    <w:p w:rsidR="00A465D8" w:rsidRPr="00A465D8" w:rsidRDefault="00A465D8" w:rsidP="00A465D8">
      <w:pPr>
        <w:contextualSpacing/>
        <w:rPr>
          <w:rFonts w:asciiTheme="minorHAnsi" w:hAnsiTheme="minorHAnsi"/>
        </w:rPr>
      </w:pPr>
    </w:p>
    <w:p w:rsidR="00A465D8" w:rsidRPr="00A465D8" w:rsidRDefault="00A465D8" w:rsidP="00EB54AD">
      <w:pPr>
        <w:contextualSpacing/>
        <w:jc w:val="center"/>
        <w:rPr>
          <w:rFonts w:asciiTheme="minorHAnsi" w:hAnsiTheme="minorHAnsi"/>
          <w:b/>
          <w:color w:val="008000"/>
        </w:rPr>
      </w:pPr>
      <w:r w:rsidRPr="00A465D8">
        <w:rPr>
          <w:rFonts w:asciiTheme="minorHAnsi" w:hAnsiTheme="minorHAnsi"/>
          <w:b/>
          <w:color w:val="008000"/>
        </w:rPr>
        <w:t>Exhibit 4.XX Service Area Average Annual Job Openings b</w:t>
      </w:r>
      <w:r w:rsidR="00EB54AD">
        <w:rPr>
          <w:rFonts w:asciiTheme="minorHAnsi" w:hAnsiTheme="minorHAnsi"/>
          <w:b/>
          <w:color w:val="008000"/>
        </w:rPr>
        <w:t xml:space="preserve">y Typical Entry Level Education </w:t>
      </w:r>
      <w:r w:rsidRPr="00A465D8">
        <w:rPr>
          <w:rFonts w:asciiTheme="minorHAnsi" w:hAnsiTheme="minorHAnsi"/>
          <w:b/>
          <w:color w:val="008000"/>
        </w:rPr>
        <w:t>(2015 – 2025)</w:t>
      </w: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noProof/>
          <w:color w:val="008000"/>
        </w:rPr>
        <w:drawing>
          <wp:inline distT="0" distB="0" distL="0" distR="0">
            <wp:extent cx="5305425" cy="2400300"/>
            <wp:effectExtent l="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65D8" w:rsidRPr="00EB54AD" w:rsidRDefault="00A465D8" w:rsidP="00EB54AD">
      <w:pPr>
        <w:ind w:left="630"/>
        <w:contextualSpacing/>
        <w:rPr>
          <w:rFonts w:asciiTheme="minorHAnsi" w:hAnsiTheme="minorHAnsi"/>
          <w:i/>
          <w:sz w:val="20"/>
          <w:szCs w:val="20"/>
        </w:rPr>
      </w:pPr>
      <w:r w:rsidRPr="00EB54AD">
        <w:rPr>
          <w:rFonts w:asciiTheme="minorHAnsi" w:hAnsiTheme="minorHAnsi"/>
          <w:i/>
          <w:sz w:val="20"/>
          <w:szCs w:val="20"/>
        </w:rPr>
        <w:t>Source: EMSI</w:t>
      </w:r>
    </w:p>
    <w:p w:rsidR="008B3331" w:rsidRDefault="008B3331" w:rsidP="00EB54AD">
      <w:pPr>
        <w:contextualSpacing/>
        <w:jc w:val="both"/>
        <w:rPr>
          <w:rFonts w:asciiTheme="minorHAnsi" w:hAnsiTheme="minorHAnsi"/>
        </w:rPr>
      </w:pPr>
    </w:p>
    <w:p w:rsidR="00EB2ECD" w:rsidRDefault="00EB2ECD" w:rsidP="00EB2ECD">
      <w:pPr>
        <w:contextualSpacing/>
        <w:jc w:val="both"/>
        <w:rPr>
          <w:rFonts w:asciiTheme="minorHAnsi" w:hAnsiTheme="minorHAnsi"/>
        </w:rPr>
      </w:pPr>
      <w:r>
        <w:rPr>
          <w:rFonts w:asciiTheme="minorHAnsi" w:hAnsiTheme="minorHAnsi"/>
        </w:rPr>
        <w:t>Of the occupations with the most expected annual openings within the ser</w:t>
      </w:r>
      <w:r w:rsidR="009F529D">
        <w:rPr>
          <w:rFonts w:asciiTheme="minorHAnsi" w:hAnsiTheme="minorHAnsi"/>
        </w:rPr>
        <w:t xml:space="preserve">vice area by the year 2025, CHC may be in a position to provide instruction that would supply workers for the following jobs: registered nurses, nursing assistants, </w:t>
      </w:r>
      <w:r w:rsidR="00D9315A">
        <w:rPr>
          <w:rFonts w:asciiTheme="minorHAnsi" w:hAnsiTheme="minorHAnsi"/>
        </w:rPr>
        <w:t xml:space="preserve">licensed practical/vocational nurses, home health aides, medical assistants, medical secretaries, elementary &amp; postsecondary teachers, teacher assistants, </w:t>
      </w:r>
      <w:r w:rsidR="009F529D">
        <w:rPr>
          <w:rFonts w:asciiTheme="minorHAnsi" w:hAnsiTheme="minorHAnsi"/>
        </w:rPr>
        <w:t>customer service representatives, general and operatio</w:t>
      </w:r>
      <w:r w:rsidR="00D9315A">
        <w:rPr>
          <w:rFonts w:asciiTheme="minorHAnsi" w:hAnsiTheme="minorHAnsi"/>
        </w:rPr>
        <w:t xml:space="preserve">ns managers, </w:t>
      </w:r>
      <w:r w:rsidR="009F529D">
        <w:rPr>
          <w:rFonts w:asciiTheme="minorHAnsi" w:hAnsiTheme="minorHAnsi"/>
        </w:rPr>
        <w:t xml:space="preserve">first-line supervisors of office/administrative support/retail sales/food prep. </w:t>
      </w:r>
      <w:proofErr w:type="gramStart"/>
      <w:r w:rsidR="00D9315A">
        <w:rPr>
          <w:rFonts w:asciiTheme="minorHAnsi" w:hAnsiTheme="minorHAnsi"/>
        </w:rPr>
        <w:t>w</w:t>
      </w:r>
      <w:r w:rsidR="009F529D">
        <w:rPr>
          <w:rFonts w:asciiTheme="minorHAnsi" w:hAnsiTheme="minorHAnsi"/>
        </w:rPr>
        <w:t>orkers</w:t>
      </w:r>
      <w:proofErr w:type="gramEnd"/>
      <w:r w:rsidR="00D9315A">
        <w:rPr>
          <w:rFonts w:asciiTheme="minorHAnsi" w:hAnsiTheme="minorHAnsi"/>
        </w:rPr>
        <w:t>,</w:t>
      </w:r>
      <w:r w:rsidR="009F529D">
        <w:rPr>
          <w:rFonts w:asciiTheme="minorHAnsi" w:hAnsiTheme="minorHAnsi"/>
        </w:rPr>
        <w:t xml:space="preserve"> </w:t>
      </w:r>
      <w:r w:rsidR="00487664">
        <w:rPr>
          <w:rFonts w:asciiTheme="minorHAnsi" w:hAnsiTheme="minorHAnsi"/>
        </w:rPr>
        <w:t xml:space="preserve">sales representatives in wholesale and manufacturing, </w:t>
      </w:r>
      <w:r w:rsidR="00D526CD">
        <w:rPr>
          <w:rFonts w:asciiTheme="minorHAnsi" w:hAnsiTheme="minorHAnsi"/>
        </w:rPr>
        <w:t xml:space="preserve">secretaries/administrative assistants, </w:t>
      </w:r>
      <w:r w:rsidR="00D9315A">
        <w:rPr>
          <w:rFonts w:asciiTheme="minorHAnsi" w:hAnsiTheme="minorHAnsi"/>
        </w:rPr>
        <w:t xml:space="preserve">and </w:t>
      </w:r>
      <w:r w:rsidR="009F529D">
        <w:rPr>
          <w:rFonts w:asciiTheme="minorHAnsi" w:hAnsiTheme="minorHAnsi"/>
        </w:rPr>
        <w:t>accountants/</w:t>
      </w:r>
      <w:r w:rsidR="00D9315A">
        <w:rPr>
          <w:rFonts w:asciiTheme="minorHAnsi" w:hAnsiTheme="minorHAnsi"/>
        </w:rPr>
        <w:t>auditors.</w:t>
      </w:r>
      <w:r w:rsidR="009F529D">
        <w:rPr>
          <w:rFonts w:asciiTheme="minorHAnsi" w:hAnsiTheme="minorHAnsi"/>
        </w:rPr>
        <w:t xml:space="preserve"> </w:t>
      </w:r>
    </w:p>
    <w:p w:rsidR="00EB2ECD" w:rsidRDefault="00EB2ECD" w:rsidP="00EB2ECD">
      <w:pPr>
        <w:contextualSpacing/>
        <w:jc w:val="both"/>
        <w:rPr>
          <w:rFonts w:asciiTheme="minorHAnsi" w:hAnsiTheme="minorHAnsi"/>
        </w:rPr>
      </w:pPr>
    </w:p>
    <w:p w:rsidR="00EA09BF" w:rsidRDefault="00254671" w:rsidP="00EA09BF">
      <w:pPr>
        <w:contextualSpacing/>
        <w:jc w:val="both"/>
        <w:rPr>
          <w:rFonts w:asciiTheme="minorHAnsi" w:hAnsiTheme="minorHAnsi"/>
        </w:rPr>
      </w:pPr>
      <w:r>
        <w:rPr>
          <w:rFonts w:asciiTheme="minorHAnsi" w:hAnsiTheme="minorHAnsi"/>
        </w:rPr>
        <w:t>For a full listing of average annual job openings by occupation</w:t>
      </w:r>
      <w:r w:rsidR="00EA09BF">
        <w:rPr>
          <w:rFonts w:asciiTheme="minorHAnsi" w:hAnsiTheme="minorHAnsi"/>
        </w:rPr>
        <w:t xml:space="preserve"> in the service area</w:t>
      </w:r>
      <w:r w:rsidR="00EA09BF" w:rsidRPr="00A465D8">
        <w:rPr>
          <w:rFonts w:asciiTheme="minorHAnsi" w:hAnsiTheme="minorHAnsi"/>
        </w:rPr>
        <w:t xml:space="preserve"> please refer to </w:t>
      </w:r>
      <w:r w:rsidR="00EA09BF">
        <w:rPr>
          <w:rFonts w:asciiTheme="minorHAnsi" w:hAnsiTheme="minorHAnsi"/>
          <w:highlight w:val="yellow"/>
        </w:rPr>
        <w:t>Appendix X</w:t>
      </w:r>
      <w:r w:rsidR="00EA09BF" w:rsidRPr="00A465D8">
        <w:rPr>
          <w:rFonts w:asciiTheme="minorHAnsi" w:hAnsiTheme="minorHAnsi"/>
          <w:highlight w:val="yellow"/>
        </w:rPr>
        <w:t>.</w:t>
      </w: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487664" w:rsidRDefault="00487664" w:rsidP="00EB2ECD">
      <w:pPr>
        <w:contextualSpacing/>
        <w:jc w:val="both"/>
        <w:rPr>
          <w:rFonts w:asciiTheme="minorHAnsi" w:hAnsiTheme="minorHAnsi"/>
        </w:rPr>
      </w:pPr>
    </w:p>
    <w:p w:rsidR="00EB2ECD" w:rsidRDefault="00EB2ECD" w:rsidP="00EB2ECD">
      <w:pPr>
        <w:contextualSpacing/>
        <w:jc w:val="center"/>
        <w:rPr>
          <w:rFonts w:asciiTheme="minorHAnsi" w:hAnsiTheme="minorHAnsi"/>
          <w:b/>
          <w:color w:val="008000"/>
        </w:rPr>
      </w:pPr>
      <w:r w:rsidRPr="008B3331">
        <w:rPr>
          <w:rFonts w:asciiTheme="minorHAnsi" w:hAnsiTheme="minorHAnsi"/>
          <w:b/>
          <w:color w:val="008000"/>
        </w:rPr>
        <w:lastRenderedPageBreak/>
        <w:t xml:space="preserve">Exhibit 4.XX Top 30 Service Area Average Annual Job Openings </w:t>
      </w:r>
      <w:r w:rsidR="00487664">
        <w:rPr>
          <w:rFonts w:asciiTheme="minorHAnsi" w:hAnsiTheme="minorHAnsi"/>
          <w:b/>
          <w:color w:val="008000"/>
        </w:rPr>
        <w:t xml:space="preserve">by Occupation </w:t>
      </w:r>
      <w:r w:rsidRPr="008B3331">
        <w:rPr>
          <w:rFonts w:asciiTheme="minorHAnsi" w:hAnsiTheme="minorHAnsi"/>
          <w:b/>
          <w:color w:val="008000"/>
        </w:rPr>
        <w:t>(2015 – 2025)</w:t>
      </w:r>
    </w:p>
    <w:tbl>
      <w:tblPr>
        <w:tblW w:w="11362" w:type="dxa"/>
        <w:tblInd w:w="-882" w:type="dxa"/>
        <w:tblLayout w:type="fixed"/>
        <w:tblLook w:val="04A0" w:firstRow="1" w:lastRow="0" w:firstColumn="1" w:lastColumn="0" w:noHBand="0" w:noVBand="1"/>
      </w:tblPr>
      <w:tblGrid>
        <w:gridCol w:w="5850"/>
        <w:gridCol w:w="1080"/>
        <w:gridCol w:w="720"/>
        <w:gridCol w:w="720"/>
        <w:gridCol w:w="960"/>
        <w:gridCol w:w="960"/>
        <w:gridCol w:w="1072"/>
      </w:tblGrid>
      <w:tr w:rsidR="00EB2ECD" w:rsidRPr="00EB2ECD" w:rsidTr="00D9315A">
        <w:trPr>
          <w:trHeight w:val="795"/>
        </w:trPr>
        <w:tc>
          <w:tcPr>
            <w:tcW w:w="585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B2ECD" w:rsidRPr="00D9315A" w:rsidRDefault="00EB2ECD" w:rsidP="00D9315A">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Description</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Annual Openings</w:t>
            </w:r>
          </w:p>
        </w:tc>
        <w:tc>
          <w:tcPr>
            <w:tcW w:w="720"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2015 Jobs</w:t>
            </w:r>
          </w:p>
        </w:tc>
        <w:tc>
          <w:tcPr>
            <w:tcW w:w="720"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2025 Jobs</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2015 - 2025 Change</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2015 - 2025 % Change</w:t>
            </w:r>
          </w:p>
        </w:tc>
        <w:tc>
          <w:tcPr>
            <w:tcW w:w="1072" w:type="dxa"/>
            <w:tcBorders>
              <w:top w:val="single" w:sz="4" w:space="0" w:color="auto"/>
              <w:left w:val="nil"/>
              <w:bottom w:val="single" w:sz="4" w:space="0" w:color="auto"/>
              <w:right w:val="single" w:sz="4" w:space="0" w:color="auto"/>
            </w:tcBorders>
            <w:shd w:val="clear" w:color="000000" w:fill="76933C"/>
            <w:vAlign w:val="center"/>
            <w:hideMark/>
          </w:tcPr>
          <w:p w:rsidR="00EB2ECD" w:rsidRPr="00D9315A" w:rsidRDefault="00EB2ECD" w:rsidP="00EB2ECD">
            <w:pPr>
              <w:spacing w:after="0" w:line="240" w:lineRule="auto"/>
              <w:jc w:val="center"/>
              <w:rPr>
                <w:rFonts w:asciiTheme="minorHAnsi" w:eastAsia="Times New Roman" w:hAnsiTheme="minorHAnsi" w:cs="Arial"/>
                <w:b/>
                <w:bCs/>
                <w:color w:val="FFFFFF"/>
              </w:rPr>
            </w:pPr>
            <w:r w:rsidRPr="00D9315A">
              <w:rPr>
                <w:rFonts w:asciiTheme="minorHAnsi" w:eastAsia="Times New Roman" w:hAnsiTheme="minorHAnsi" w:cs="Arial"/>
                <w:b/>
                <w:bCs/>
                <w:color w:val="FFFFFF"/>
              </w:rPr>
              <w:t>Avg. Hourly Earnings</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Retail Salespersons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502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7,916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9,852</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1,936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24%</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$12.49</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Laborers and Freight, Stock, and Material Movers, Hand</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469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7,866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9,675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1,809</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$13.46</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Registered Nurses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281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6,351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7,762</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1,411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22%</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$42.89</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Stock Clerks and Order Fillers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245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5,050</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5,828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778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$12.84</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Heavy and Tractor-Trailer Truck Drivers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219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5,899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7,026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1,127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$23.17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Office Clerks, General</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165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5,171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5,662</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491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$14.59</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Nursing Assistants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157</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2,818</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3,741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923</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33%</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$13.57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Customer Service Representatives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2,683</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3,256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573</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$17.63</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Elementary School Teachers, Except Special Education</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3,699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4,096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397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$35.22</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General and Operations Managers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3,439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3,987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548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16%</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$51.27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Home Health Aides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1,131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2,047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916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81%</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$13.19</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First-Line Supervisors of Office and Admin. Support Workers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2,660</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3,153</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493</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$25.42</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Janitors/Cleaners, Except Maids and Housekeeping Cleaners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117</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3,598</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4,040</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442</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$13.57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Postsecondary Teachers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108</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2,874</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3,461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587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$41.67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First-Line Supervisors of Retail Sales Workers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107</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2,354</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2,849</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495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$20.84</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Licensed Practical and Licensed Vocational Nurses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104</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1,788</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2,314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526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29%</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$23.15</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Packers and Packagers, Hand</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102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2,003</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2,406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403</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$12.08</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First-Line Supervisors of Food Prep. and Serving Workers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1,786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2,200</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414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$14.84</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Teacher Assistants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94</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3,027</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3,248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221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$14.37</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Secretaries &amp; Admin. Assts, Except Legal, Medical,&amp;  Executive</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93</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3,292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3,790</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498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$17.91</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Medical Assistants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1,956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2,446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490</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25%</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$14.11</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Receptionists and Information Clerks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92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1,831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2,198</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367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$13.52</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Industrial Truck and Tractor Operators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85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1,888</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2,234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346</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$15.94</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Automotive Service Technicians and Mechanics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1,672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1,957</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285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$19.81</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 xml:space="preserve">Landscaping and </w:t>
            </w:r>
            <w:proofErr w:type="spellStart"/>
            <w:r w:rsidRPr="00D9315A">
              <w:rPr>
                <w:rFonts w:asciiTheme="minorHAnsi" w:eastAsia="Times New Roman" w:hAnsiTheme="minorHAnsi" w:cs="Arial"/>
                <w:color w:val="auto"/>
              </w:rPr>
              <w:t>Groundskeeping</w:t>
            </w:r>
            <w:proofErr w:type="spellEnd"/>
            <w:r w:rsidRPr="00D9315A">
              <w:rPr>
                <w:rFonts w:asciiTheme="minorHAnsi" w:eastAsia="Times New Roman" w:hAnsiTheme="minorHAnsi" w:cs="Arial"/>
                <w:color w:val="auto"/>
              </w:rPr>
              <w:t xml:space="preserve"> Workers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1,885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2,099</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214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11%</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$12.36</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Maintenance and Repair Workers, General</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1,921</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2,225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304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16%</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$18.74</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FC225F">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Sales Reps, Wholesale &amp;</w:t>
            </w:r>
            <w:r w:rsidR="00487664" w:rsidRPr="00D9315A">
              <w:rPr>
                <w:rFonts w:asciiTheme="minorHAnsi" w:eastAsia="Times New Roman" w:hAnsiTheme="minorHAnsi" w:cs="Arial"/>
                <w:color w:val="auto"/>
              </w:rPr>
              <w:t xml:space="preserve"> </w:t>
            </w:r>
            <w:r w:rsidRPr="00D9315A">
              <w:rPr>
                <w:rFonts w:asciiTheme="minorHAnsi" w:eastAsia="Times New Roman" w:hAnsiTheme="minorHAnsi" w:cs="Arial"/>
                <w:color w:val="auto"/>
              </w:rPr>
              <w:t>Manuf., Except Tech./Sci. Products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70</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1,550</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1,904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354</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$31.60</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Shipping, Receiving, and Traffic Clerks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69</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1,560</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1,795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235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$15.35</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Accountants and Auditors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67</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1,305</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1,545</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240</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18%</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$34.23</w:t>
            </w:r>
          </w:p>
        </w:tc>
      </w:tr>
      <w:tr w:rsidR="00EB2ECD" w:rsidRPr="00EB2ECD" w:rsidTr="00D9315A">
        <w:trPr>
          <w:trHeight w:val="255"/>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rPr>
                <w:rFonts w:asciiTheme="minorHAnsi" w:eastAsia="Times New Roman" w:hAnsiTheme="minorHAnsi" w:cs="Arial"/>
                <w:color w:val="auto"/>
              </w:rPr>
            </w:pPr>
            <w:r w:rsidRPr="00D9315A">
              <w:rPr>
                <w:rFonts w:asciiTheme="minorHAnsi" w:eastAsia="Times New Roman" w:hAnsiTheme="minorHAnsi" w:cs="Arial"/>
                <w:color w:val="auto"/>
              </w:rPr>
              <w:t>Medical Secretaries</w:t>
            </w:r>
          </w:p>
        </w:tc>
        <w:tc>
          <w:tcPr>
            <w:tcW w:w="108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66</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1,492</w:t>
            </w:r>
          </w:p>
        </w:tc>
        <w:tc>
          <w:tcPr>
            <w:tcW w:w="72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1,941</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449</w:t>
            </w:r>
          </w:p>
        </w:tc>
        <w:tc>
          <w:tcPr>
            <w:tcW w:w="960"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30%</w:t>
            </w:r>
          </w:p>
        </w:tc>
        <w:tc>
          <w:tcPr>
            <w:tcW w:w="1072" w:type="dxa"/>
            <w:tcBorders>
              <w:top w:val="nil"/>
              <w:left w:val="nil"/>
              <w:bottom w:val="single" w:sz="4" w:space="0" w:color="auto"/>
              <w:right w:val="single" w:sz="4" w:space="0" w:color="auto"/>
            </w:tcBorders>
            <w:shd w:val="clear" w:color="auto" w:fill="auto"/>
            <w:noWrap/>
            <w:vAlign w:val="center"/>
            <w:hideMark/>
          </w:tcPr>
          <w:p w:rsidR="00EB2ECD" w:rsidRPr="00D9315A" w:rsidRDefault="00EB2ECD" w:rsidP="00EB2ECD">
            <w:pPr>
              <w:spacing w:after="0" w:line="240" w:lineRule="auto"/>
              <w:jc w:val="center"/>
              <w:rPr>
                <w:rFonts w:asciiTheme="minorHAnsi" w:eastAsia="Times New Roman" w:hAnsiTheme="minorHAnsi" w:cs="Arial"/>
                <w:color w:val="auto"/>
              </w:rPr>
            </w:pPr>
            <w:r w:rsidRPr="00D9315A">
              <w:rPr>
                <w:rFonts w:asciiTheme="minorHAnsi" w:eastAsia="Times New Roman" w:hAnsiTheme="minorHAnsi" w:cs="Arial"/>
                <w:color w:val="auto"/>
              </w:rPr>
              <w:t>$15.73</w:t>
            </w:r>
          </w:p>
        </w:tc>
      </w:tr>
    </w:tbl>
    <w:p w:rsidR="00487664" w:rsidRPr="00EB54AD" w:rsidRDefault="00487664" w:rsidP="00D9315A">
      <w:pPr>
        <w:ind w:left="-990"/>
        <w:contextualSpacing/>
        <w:rPr>
          <w:rFonts w:asciiTheme="minorHAnsi" w:hAnsiTheme="minorHAnsi"/>
          <w:i/>
          <w:sz w:val="20"/>
          <w:szCs w:val="20"/>
        </w:rPr>
      </w:pPr>
      <w:r w:rsidRPr="00EB54AD">
        <w:rPr>
          <w:rFonts w:asciiTheme="minorHAnsi" w:hAnsiTheme="minorHAnsi"/>
          <w:i/>
          <w:sz w:val="20"/>
          <w:szCs w:val="20"/>
        </w:rPr>
        <w:t>Source: EMSI</w:t>
      </w:r>
    </w:p>
    <w:p w:rsidR="00EB2ECD" w:rsidRDefault="00EB2ECD" w:rsidP="00EB54AD">
      <w:pPr>
        <w:contextualSpacing/>
        <w:jc w:val="both"/>
        <w:rPr>
          <w:rFonts w:asciiTheme="minorHAnsi" w:hAnsiTheme="minorHAnsi"/>
        </w:rPr>
      </w:pPr>
    </w:p>
    <w:p w:rsidR="00A465D8" w:rsidRPr="00A465D8" w:rsidRDefault="00A465D8" w:rsidP="00EB54AD">
      <w:pPr>
        <w:contextualSpacing/>
        <w:jc w:val="both"/>
        <w:rPr>
          <w:rFonts w:asciiTheme="minorHAnsi" w:hAnsiTheme="minorHAnsi"/>
        </w:rPr>
      </w:pPr>
      <w:r w:rsidRPr="00A465D8">
        <w:rPr>
          <w:rFonts w:asciiTheme="minorHAnsi" w:hAnsiTheme="minorHAnsi"/>
        </w:rPr>
        <w:t xml:space="preserve">Of the projected 8,026 average annual job openings between 2015 and 2025 in the service area, approximately 3,409 openings belong to occupations that are related to programs offered by CHC. An occupation was determined to be related to a program if the program prepared an individual for employment in the occupation or for transfer to another program that would then prepare the individual for employment in the occupation (for example, CHC’s biology program often feeds into several nursing programs in the area, thus, nursing occupations are considered to be related to CHC’s biology program). None of the 3,409 openings have a typical entry level education of less than </w:t>
      </w:r>
      <w:r w:rsidR="005E1191">
        <w:rPr>
          <w:rFonts w:asciiTheme="minorHAnsi" w:hAnsiTheme="minorHAnsi"/>
        </w:rPr>
        <w:t xml:space="preserve">a </w:t>
      </w:r>
      <w:r w:rsidRPr="00A465D8">
        <w:rPr>
          <w:rFonts w:asciiTheme="minorHAnsi" w:hAnsiTheme="minorHAnsi"/>
        </w:rPr>
        <w:t>high school</w:t>
      </w:r>
      <w:r w:rsidR="005E1191">
        <w:rPr>
          <w:rFonts w:asciiTheme="minorHAnsi" w:hAnsiTheme="minorHAnsi"/>
        </w:rPr>
        <w:t xml:space="preserve"> </w:t>
      </w:r>
      <w:proofErr w:type="spellStart"/>
      <w:r w:rsidR="005E1191">
        <w:rPr>
          <w:rFonts w:asciiTheme="minorHAnsi" w:hAnsiTheme="minorHAnsi"/>
        </w:rPr>
        <w:t>dimploma</w:t>
      </w:r>
      <w:proofErr w:type="spellEnd"/>
      <w:r w:rsidR="005E1191">
        <w:rPr>
          <w:rFonts w:asciiTheme="minorHAnsi" w:hAnsiTheme="minorHAnsi"/>
        </w:rPr>
        <w:t>/equivalent</w:t>
      </w:r>
      <w:r w:rsidRPr="00A465D8">
        <w:rPr>
          <w:rFonts w:asciiTheme="minorHAnsi" w:hAnsiTheme="minorHAnsi"/>
        </w:rPr>
        <w:t xml:space="preserve">. </w:t>
      </w:r>
      <w:r w:rsidR="00694BCD">
        <w:rPr>
          <w:rFonts w:asciiTheme="minorHAnsi" w:hAnsiTheme="minorHAnsi"/>
        </w:rPr>
        <w:t xml:space="preserve">Approximately </w:t>
      </w:r>
      <w:r w:rsidRPr="00A465D8">
        <w:rPr>
          <w:rFonts w:asciiTheme="minorHAnsi" w:hAnsiTheme="minorHAnsi"/>
        </w:rPr>
        <w:t xml:space="preserve">1,260 </w:t>
      </w:r>
      <w:r w:rsidR="00694BCD">
        <w:rPr>
          <w:rFonts w:asciiTheme="minorHAnsi" w:hAnsiTheme="minorHAnsi"/>
        </w:rPr>
        <w:t xml:space="preserve">jobs </w:t>
      </w:r>
      <w:r w:rsidRPr="00A465D8">
        <w:rPr>
          <w:rFonts w:asciiTheme="minorHAnsi" w:hAnsiTheme="minorHAnsi"/>
        </w:rPr>
        <w:t xml:space="preserve">(36.97%) have a typical entry level education of a high school diploma or equivalent, 120 (3.52%) have a typical entry level education of some college, 308 (9.03%) have a typical entry level education of a postsecondary non-degree award, 376 (11.04%) </w:t>
      </w:r>
      <w:r w:rsidRPr="00A465D8">
        <w:rPr>
          <w:rFonts w:asciiTheme="minorHAnsi" w:hAnsiTheme="minorHAnsi"/>
        </w:rPr>
        <w:lastRenderedPageBreak/>
        <w:t xml:space="preserve">have a typical entry level education of an Associate’s degree, 1,022 (29.99%) have a typical entry level education of a Bachelor’s degree, 159 (4.66%) have a typical entry level education of a Master’s degree and 163 (4.79%) have a typical entry level education of a Doctoral or professional degree. </w:t>
      </w:r>
    </w:p>
    <w:p w:rsidR="000A65F1" w:rsidRPr="00A465D8" w:rsidRDefault="000A65F1" w:rsidP="00A465D8">
      <w:pPr>
        <w:contextualSpacing/>
        <w:rPr>
          <w:rFonts w:asciiTheme="minorHAnsi" w:hAnsiTheme="minorHAnsi"/>
        </w:rPr>
      </w:pPr>
    </w:p>
    <w:p w:rsidR="00A465D8" w:rsidRPr="00A465D8" w:rsidRDefault="00A465D8" w:rsidP="00DD39FA">
      <w:pPr>
        <w:contextualSpacing/>
        <w:jc w:val="center"/>
        <w:rPr>
          <w:rFonts w:asciiTheme="minorHAnsi" w:hAnsiTheme="minorHAnsi"/>
          <w:color w:val="008000"/>
        </w:rPr>
      </w:pPr>
      <w:r w:rsidRPr="00A465D8">
        <w:rPr>
          <w:rFonts w:asciiTheme="minorHAnsi" w:hAnsiTheme="minorHAnsi"/>
          <w:b/>
          <w:color w:val="008000"/>
        </w:rPr>
        <w:t xml:space="preserve">Exhibit 4.XX Service Area Annual Job Openings Related to </w:t>
      </w:r>
      <w:r w:rsidR="00EB54AD">
        <w:rPr>
          <w:rFonts w:asciiTheme="minorHAnsi" w:hAnsiTheme="minorHAnsi"/>
          <w:b/>
          <w:color w:val="008000"/>
        </w:rPr>
        <w:t>CHC</w:t>
      </w:r>
      <w:r w:rsidRPr="00A465D8">
        <w:rPr>
          <w:rFonts w:asciiTheme="minorHAnsi" w:hAnsiTheme="minorHAnsi"/>
          <w:b/>
          <w:color w:val="008000"/>
        </w:rPr>
        <w:t xml:space="preserve"> </w:t>
      </w:r>
      <w:r w:rsidR="00EB54AD">
        <w:rPr>
          <w:rFonts w:asciiTheme="minorHAnsi" w:hAnsiTheme="minorHAnsi"/>
          <w:b/>
          <w:color w:val="008000"/>
        </w:rPr>
        <w:t xml:space="preserve">Programs by Typical Entry Level </w:t>
      </w:r>
      <w:r w:rsidRPr="00A465D8">
        <w:rPr>
          <w:rFonts w:asciiTheme="minorHAnsi" w:hAnsiTheme="minorHAnsi"/>
          <w:b/>
          <w:color w:val="008000"/>
        </w:rPr>
        <w:t>Education (2015 – 2025)</w:t>
      </w:r>
    </w:p>
    <w:p w:rsidR="00A465D8" w:rsidRPr="00A465D8" w:rsidRDefault="00A465D8" w:rsidP="00A465D8">
      <w:pPr>
        <w:contextualSpacing/>
        <w:jc w:val="center"/>
        <w:rPr>
          <w:rFonts w:asciiTheme="minorHAnsi" w:hAnsiTheme="minorHAnsi"/>
        </w:rPr>
      </w:pPr>
      <w:r w:rsidRPr="00A465D8">
        <w:rPr>
          <w:rFonts w:asciiTheme="minorHAnsi" w:hAnsiTheme="minorHAnsi"/>
          <w:noProof/>
        </w:rPr>
        <w:drawing>
          <wp:inline distT="0" distB="0" distL="0" distR="0">
            <wp:extent cx="5057775" cy="2390775"/>
            <wp:effectExtent l="0" t="0" r="0" b="0"/>
            <wp:docPr id="2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65D8" w:rsidRPr="00DD39FA" w:rsidRDefault="00A465D8" w:rsidP="00294E15">
      <w:pPr>
        <w:ind w:left="900"/>
        <w:contextualSpacing/>
        <w:rPr>
          <w:rFonts w:asciiTheme="minorHAnsi" w:hAnsiTheme="minorHAnsi"/>
          <w:sz w:val="20"/>
          <w:szCs w:val="20"/>
        </w:rPr>
      </w:pPr>
      <w:r w:rsidRPr="00DD39FA">
        <w:rPr>
          <w:rFonts w:asciiTheme="minorHAnsi" w:hAnsiTheme="minorHAnsi"/>
          <w:i/>
          <w:sz w:val="20"/>
          <w:szCs w:val="20"/>
        </w:rPr>
        <w:t>Source: EMSI</w:t>
      </w:r>
    </w:p>
    <w:p w:rsidR="00A465D8" w:rsidRPr="00A465D8" w:rsidRDefault="00A465D8" w:rsidP="00A465D8">
      <w:pPr>
        <w:contextualSpacing/>
        <w:rPr>
          <w:rFonts w:asciiTheme="minorHAnsi" w:hAnsiTheme="minorHAnsi"/>
        </w:rPr>
      </w:pPr>
    </w:p>
    <w:p w:rsidR="00A465D8" w:rsidRPr="00A465D8" w:rsidRDefault="00DD39FA" w:rsidP="00DD39FA">
      <w:pPr>
        <w:contextualSpacing/>
        <w:jc w:val="both"/>
        <w:rPr>
          <w:rFonts w:asciiTheme="minorHAnsi" w:hAnsiTheme="minorHAnsi"/>
        </w:rPr>
      </w:pPr>
      <w:r>
        <w:rPr>
          <w:rFonts w:asciiTheme="minorHAnsi" w:hAnsiTheme="minorHAnsi"/>
        </w:rPr>
        <w:t>CHC</w:t>
      </w:r>
      <w:r w:rsidR="00A465D8" w:rsidRPr="00A465D8">
        <w:rPr>
          <w:rFonts w:asciiTheme="minorHAnsi" w:hAnsiTheme="minorHAnsi"/>
        </w:rPr>
        <w:t xml:space="preserve"> programs with the highest number of related average annual openings in the service area were the following: Business Administration (30.79% or 1,050 openings), Biology (19.92% or 679 openings), Child Development and Education (16.79% or 572 openings), Accounting (10.44% or 356 openings) and Psychology (5.98% or 204 openings). </w:t>
      </w:r>
    </w:p>
    <w:p w:rsidR="00A465D8" w:rsidRDefault="00A465D8"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Default="009C348E" w:rsidP="00A465D8">
      <w:pPr>
        <w:contextualSpacing/>
        <w:rPr>
          <w:rFonts w:asciiTheme="minorHAnsi" w:hAnsiTheme="minorHAnsi"/>
        </w:rPr>
      </w:pPr>
    </w:p>
    <w:p w:rsidR="009C348E" w:rsidRPr="00A465D8" w:rsidRDefault="009C348E" w:rsidP="00A465D8">
      <w:pPr>
        <w:contextualSpacing/>
        <w:rPr>
          <w:rFonts w:asciiTheme="minorHAnsi" w:hAnsiTheme="minorHAnsi"/>
        </w:rPr>
      </w:pP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color w:val="008000"/>
        </w:rPr>
        <w:lastRenderedPageBreak/>
        <w:t>Exhibit 4.XX Service Area Average Annual Job Openings by Program (2015 – 2025)</w:t>
      </w:r>
    </w:p>
    <w:tbl>
      <w:tblPr>
        <w:tblW w:w="6485" w:type="dxa"/>
        <w:jc w:val="center"/>
        <w:tblInd w:w="103" w:type="dxa"/>
        <w:tblLook w:val="04A0" w:firstRow="1" w:lastRow="0" w:firstColumn="1" w:lastColumn="0" w:noHBand="0" w:noVBand="1"/>
      </w:tblPr>
      <w:tblGrid>
        <w:gridCol w:w="3618"/>
        <w:gridCol w:w="875"/>
        <w:gridCol w:w="717"/>
        <w:gridCol w:w="1425"/>
      </w:tblGrid>
      <w:tr w:rsidR="00A465D8" w:rsidRPr="00A465D8" w:rsidTr="00DD39FA">
        <w:trPr>
          <w:trHeight w:val="468"/>
          <w:jc w:val="center"/>
        </w:trPr>
        <w:tc>
          <w:tcPr>
            <w:tcW w:w="3618" w:type="dxa"/>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Program</w:t>
            </w:r>
          </w:p>
        </w:tc>
        <w:tc>
          <w:tcPr>
            <w:tcW w:w="1442" w:type="dxa"/>
            <w:gridSpan w:val="2"/>
            <w:shd w:val="clear" w:color="auto" w:fill="525252" w:themeFill="accent3" w:themeFillShade="80"/>
            <w:noWrap/>
            <w:vAlign w:val="center"/>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Annual Openings</w:t>
            </w:r>
          </w:p>
        </w:tc>
        <w:tc>
          <w:tcPr>
            <w:tcW w:w="1425" w:type="dxa"/>
            <w:shd w:val="clear" w:color="auto" w:fill="525252" w:themeFill="accent3" w:themeFillShade="80"/>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Avg. Hourly Wage</w:t>
            </w:r>
          </w:p>
        </w:tc>
      </w:tr>
      <w:tr w:rsidR="00A465D8" w:rsidRPr="00A465D8" w:rsidTr="00DD39FA">
        <w:trPr>
          <w:trHeight w:val="80"/>
          <w:jc w:val="center"/>
        </w:trPr>
        <w:tc>
          <w:tcPr>
            <w:tcW w:w="3618" w:type="dxa"/>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 </w:t>
            </w:r>
          </w:p>
        </w:tc>
        <w:tc>
          <w:tcPr>
            <w:tcW w:w="759" w:type="dxa"/>
            <w:shd w:val="clear" w:color="auto" w:fill="525252" w:themeFill="accent3" w:themeFillShade="80"/>
            <w:noWrap/>
            <w:vAlign w:val="bottom"/>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683" w:type="dxa"/>
            <w:shd w:val="clear" w:color="auto" w:fill="525252" w:themeFill="accent3" w:themeFillShade="80"/>
            <w:noWrap/>
            <w:vAlign w:val="bottom"/>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1425" w:type="dxa"/>
            <w:shd w:val="clear" w:color="auto" w:fill="525252" w:themeFill="accent3" w:themeFillShade="80"/>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 </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Business Administration</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30.79%</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w:t>
            </w:r>
            <w:r w:rsidR="00DD39FA">
              <w:rPr>
                <w:rFonts w:asciiTheme="minorHAnsi" w:eastAsia="Times New Roman" w:hAnsiTheme="minorHAnsi" w:cs="Times New Roman"/>
              </w:rPr>
              <w:t>,</w:t>
            </w:r>
            <w:r w:rsidRPr="00A465D8">
              <w:rPr>
                <w:rFonts w:asciiTheme="minorHAnsi" w:eastAsia="Times New Roman" w:hAnsiTheme="minorHAnsi" w:cs="Times New Roman"/>
              </w:rPr>
              <w:t>050</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$31.90</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Biology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19.92%</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679</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$52.77</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Childhood Development/Education</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16.79%</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572</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$29.39</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Accounting</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10.44%</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356</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$27.02</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Psychology</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5.98%</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204</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$32.20</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Communication Studies</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5.20%</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177</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$25.99</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Comp. Info. Tech./Comp. Science</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3.08%</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105</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$40.39</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Kinesiology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1.28%</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44</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$24.17</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Chemistry</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1.10%</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38</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$33.81</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Emergency Medical Services</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0.88%</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$18.78</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Engineering</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0.77%</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26</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$41.42</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Geology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0.57%</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20</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$31.94</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Radiology</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0.44%</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$30.33</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Religious Studies</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0.40%</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$25.07</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Philosophy</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0.38%</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$57.03</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History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0.32%</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$21.91</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Respiratory Care</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0.32%</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$30.42</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Art</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0.29%</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$27.20</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Theatre Arts</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0.20%</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$29.29</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Fire Technology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0.20%</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$28.34</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Mathematics</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0.19%</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$36.57</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Music</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0.16%</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$29.24</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Modern Languages</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0.14%</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$19.73</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English</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0.08%</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$30.33</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Economics</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0.05%</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$33.70</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Geography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0.04%</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$27.90</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Anthropology</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$25.48</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Dance</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$14.22</w:t>
            </w:r>
          </w:p>
        </w:tc>
      </w:tr>
      <w:tr w:rsidR="00A465D8" w:rsidRPr="00A465D8" w:rsidTr="00A465D8">
        <w:trPr>
          <w:trHeight w:val="300"/>
          <w:jc w:val="center"/>
        </w:trPr>
        <w:tc>
          <w:tcPr>
            <w:tcW w:w="3618" w:type="dxa"/>
            <w:shd w:val="clear" w:color="auto" w:fill="DBDBDB" w:themeFill="accent3" w:themeFillTint="66"/>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Physics</w:t>
            </w:r>
          </w:p>
        </w:tc>
        <w:tc>
          <w:tcPr>
            <w:tcW w:w="759" w:type="dxa"/>
            <w:shd w:val="clear" w:color="auto" w:fill="DBDBDB" w:themeFill="accent3" w:themeFillTint="66"/>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w:t>
            </w:r>
          </w:p>
        </w:tc>
        <w:tc>
          <w:tcPr>
            <w:tcW w:w="683"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425" w:type="dxa"/>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$46.04</w:t>
            </w:r>
          </w:p>
        </w:tc>
      </w:tr>
      <w:tr w:rsidR="00A465D8" w:rsidRPr="00A465D8" w:rsidTr="00A465D8">
        <w:trPr>
          <w:trHeight w:val="300"/>
          <w:jc w:val="center"/>
        </w:trPr>
        <w:tc>
          <w:tcPr>
            <w:tcW w:w="3618" w:type="dxa"/>
            <w:shd w:val="clear" w:color="auto" w:fill="auto"/>
            <w:noWrap/>
            <w:vAlign w:val="bottom"/>
            <w:hideMark/>
          </w:tcPr>
          <w:p w:rsidR="00A465D8" w:rsidRPr="00A465D8" w:rsidRDefault="00A465D8" w:rsidP="00DD39FA">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Sociology</w:t>
            </w:r>
          </w:p>
        </w:tc>
        <w:tc>
          <w:tcPr>
            <w:tcW w:w="759" w:type="dxa"/>
            <w:shd w:val="clear" w:color="auto" w:fill="auto"/>
            <w:noWrap/>
            <w:vAlign w:val="center"/>
            <w:hideMark/>
          </w:tcPr>
          <w:p w:rsidR="00A465D8" w:rsidRPr="00A465D8" w:rsidRDefault="00A465D8" w:rsidP="00DD39FA">
            <w:pPr>
              <w:spacing w:after="0" w:line="240" w:lineRule="auto"/>
              <w:jc w:val="center"/>
              <w:rPr>
                <w:rFonts w:asciiTheme="minorHAnsi" w:eastAsia="Times New Roman" w:hAnsiTheme="minorHAnsi" w:cs="Arial"/>
              </w:rPr>
            </w:pPr>
            <w:r w:rsidRPr="00A465D8">
              <w:rPr>
                <w:rFonts w:asciiTheme="minorHAnsi" w:eastAsia="Times New Roman" w:hAnsiTheme="minorHAnsi" w:cs="Arial"/>
              </w:rPr>
              <w:t>-</w:t>
            </w:r>
          </w:p>
        </w:tc>
        <w:tc>
          <w:tcPr>
            <w:tcW w:w="683"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425" w:type="dxa"/>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$35.64</w:t>
            </w:r>
          </w:p>
        </w:tc>
      </w:tr>
    </w:tbl>
    <w:p w:rsidR="00A465D8" w:rsidRPr="00DD39FA" w:rsidRDefault="00A465D8" w:rsidP="00DD39FA">
      <w:pPr>
        <w:ind w:left="1350"/>
        <w:contextualSpacing/>
        <w:rPr>
          <w:rFonts w:asciiTheme="minorHAnsi" w:hAnsiTheme="minorHAnsi"/>
          <w:i/>
          <w:sz w:val="20"/>
          <w:szCs w:val="20"/>
        </w:rPr>
      </w:pPr>
      <w:r w:rsidRPr="00DD39FA">
        <w:rPr>
          <w:rFonts w:asciiTheme="minorHAnsi" w:hAnsiTheme="minorHAnsi"/>
          <w:i/>
          <w:sz w:val="20"/>
          <w:szCs w:val="20"/>
        </w:rPr>
        <w:t>Source: EMSI</w:t>
      </w:r>
    </w:p>
    <w:p w:rsidR="00A465D8" w:rsidRPr="00A465D8" w:rsidRDefault="00A465D8" w:rsidP="00A465D8">
      <w:pPr>
        <w:contextualSpacing/>
        <w:rPr>
          <w:rFonts w:asciiTheme="minorHAnsi" w:hAnsiTheme="minorHAnsi"/>
        </w:rPr>
      </w:pPr>
    </w:p>
    <w:p w:rsidR="00A465D8" w:rsidRPr="00A465D8" w:rsidRDefault="00A465D8" w:rsidP="00DD39FA">
      <w:pPr>
        <w:contextualSpacing/>
        <w:jc w:val="both"/>
        <w:rPr>
          <w:rFonts w:asciiTheme="minorHAnsi" w:hAnsiTheme="minorHAnsi"/>
        </w:rPr>
      </w:pPr>
      <w:r w:rsidRPr="00A465D8">
        <w:rPr>
          <w:rFonts w:asciiTheme="minorHAnsi" w:hAnsiTheme="minorHAnsi"/>
        </w:rPr>
        <w:t xml:space="preserve">Between 2015 and 2025, the service area job openings that have a typical entry level education of a postsecondary non-degree award or higher are expected to primarily be related to the following programs: Biology (31.42% or 675 openings), Child Development and Education (23.13% or 497 openings), Business Administration (14.42% or 310 openings), Psychology (6.95% or 149 openings) and Accounting (6.66% or 143 openings). </w:t>
      </w:r>
    </w:p>
    <w:p w:rsidR="00A465D8" w:rsidRDefault="00A465D8" w:rsidP="00A465D8">
      <w:pPr>
        <w:contextualSpacing/>
        <w:rPr>
          <w:rFonts w:asciiTheme="minorHAnsi" w:hAnsiTheme="minorHAnsi"/>
        </w:rPr>
      </w:pPr>
    </w:p>
    <w:p w:rsidR="009C348E" w:rsidRPr="00A465D8" w:rsidRDefault="009C348E" w:rsidP="00A465D8">
      <w:pPr>
        <w:contextualSpacing/>
        <w:rPr>
          <w:rFonts w:asciiTheme="minorHAnsi" w:hAnsiTheme="minorHAnsi"/>
        </w:rPr>
      </w:pP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color w:val="008000"/>
        </w:rPr>
        <w:lastRenderedPageBreak/>
        <w:t>Exhibit 4.XX Service Area Average Annual Job Openings by Program, Postsecondary Non-Degree Award or Higher (2015 – 2025)</w:t>
      </w:r>
    </w:p>
    <w:tbl>
      <w:tblPr>
        <w:tblW w:w="6850" w:type="dxa"/>
        <w:jc w:val="center"/>
        <w:tblInd w:w="103" w:type="dxa"/>
        <w:tblLook w:val="04A0" w:firstRow="1" w:lastRow="0" w:firstColumn="1" w:lastColumn="0" w:noHBand="0" w:noVBand="1"/>
      </w:tblPr>
      <w:tblGrid>
        <w:gridCol w:w="3820"/>
        <w:gridCol w:w="976"/>
        <w:gridCol w:w="744"/>
        <w:gridCol w:w="1310"/>
      </w:tblGrid>
      <w:tr w:rsidR="00A465D8" w:rsidRPr="00A465D8" w:rsidTr="00DD39FA">
        <w:trPr>
          <w:trHeight w:val="468"/>
          <w:jc w:val="center"/>
        </w:trPr>
        <w:tc>
          <w:tcPr>
            <w:tcW w:w="3820" w:type="dxa"/>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Program</w:t>
            </w:r>
          </w:p>
        </w:tc>
        <w:tc>
          <w:tcPr>
            <w:tcW w:w="1720" w:type="dxa"/>
            <w:gridSpan w:val="2"/>
            <w:shd w:val="clear" w:color="auto" w:fill="525252" w:themeFill="accent3" w:themeFillShade="80"/>
            <w:noWrap/>
            <w:vAlign w:val="center"/>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Annual Openings</w:t>
            </w:r>
          </w:p>
        </w:tc>
        <w:tc>
          <w:tcPr>
            <w:tcW w:w="1310" w:type="dxa"/>
            <w:shd w:val="clear" w:color="auto" w:fill="525252" w:themeFill="accent3" w:themeFillShade="80"/>
            <w:vAlign w:val="center"/>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Avg. Hourly Wage</w:t>
            </w:r>
          </w:p>
        </w:tc>
      </w:tr>
      <w:tr w:rsidR="00A465D8" w:rsidRPr="00A465D8" w:rsidTr="00A465D8">
        <w:trPr>
          <w:trHeight w:val="300"/>
          <w:jc w:val="center"/>
        </w:trPr>
        <w:tc>
          <w:tcPr>
            <w:tcW w:w="3820" w:type="dxa"/>
            <w:tcBorders>
              <w:top w:val="nil"/>
            </w:tcBorders>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 </w:t>
            </w:r>
          </w:p>
        </w:tc>
        <w:tc>
          <w:tcPr>
            <w:tcW w:w="976" w:type="dxa"/>
            <w:tcBorders>
              <w:top w:val="nil"/>
            </w:tcBorders>
            <w:shd w:val="clear" w:color="auto" w:fill="525252" w:themeFill="accent3" w:themeFillShade="80"/>
            <w:noWrap/>
            <w:vAlign w:val="bottom"/>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744" w:type="dxa"/>
            <w:tcBorders>
              <w:top w:val="nil"/>
            </w:tcBorders>
            <w:shd w:val="clear" w:color="auto" w:fill="525252" w:themeFill="accent3" w:themeFillShade="80"/>
            <w:noWrap/>
            <w:vAlign w:val="bottom"/>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1310" w:type="dxa"/>
            <w:tcBorders>
              <w:top w:val="nil"/>
            </w:tcBorders>
            <w:shd w:val="clear" w:color="auto" w:fill="525252" w:themeFill="accent3" w:themeFillShade="80"/>
            <w:vAlign w:val="bottom"/>
            <w:hideMark/>
          </w:tcPr>
          <w:p w:rsidR="00A465D8" w:rsidRPr="00A465D8" w:rsidRDefault="00A465D8" w:rsidP="00DD39FA">
            <w:pPr>
              <w:spacing w:after="0" w:line="240" w:lineRule="auto"/>
              <w:jc w:val="center"/>
              <w:rPr>
                <w:rFonts w:asciiTheme="minorHAnsi" w:eastAsia="Times New Roman" w:hAnsiTheme="minorHAnsi" w:cs="Times New Roman"/>
                <w:color w:val="FFFFFF" w:themeColor="background1"/>
              </w:rPr>
            </w:pPr>
          </w:p>
        </w:tc>
      </w:tr>
      <w:tr w:rsidR="00A465D8" w:rsidRPr="00A465D8" w:rsidTr="00A465D8">
        <w:trPr>
          <w:trHeight w:val="300"/>
          <w:jc w:val="center"/>
        </w:trPr>
        <w:tc>
          <w:tcPr>
            <w:tcW w:w="3820"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Biology</w:t>
            </w:r>
          </w:p>
        </w:tc>
        <w:tc>
          <w:tcPr>
            <w:tcW w:w="976" w:type="dxa"/>
            <w:tcBorders>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31.42%</w:t>
            </w:r>
          </w:p>
        </w:tc>
        <w:tc>
          <w:tcPr>
            <w:tcW w:w="744" w:type="dxa"/>
            <w:tcBorders>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675</w:t>
            </w:r>
          </w:p>
        </w:tc>
        <w:tc>
          <w:tcPr>
            <w:tcW w:w="1310" w:type="dxa"/>
            <w:tcBorders>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$54.39</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Child Development and Education</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23.13%</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497</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$31.07</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Business Administration</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14.42%</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310</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$41.92</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Psychology</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6.95%</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149</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$33.85</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Accounting</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6.66%</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143</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$34.90</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Comp. Info. Tech./Comp. Science</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4.89%</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105</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$41.90</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Chemistry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1.75%</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38</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$33.81</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Kinesiology</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1.35%</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$28.18</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Communication Studies</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1.33%</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$29.49</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Emergency Medical Services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1.29%</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28</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$15.73</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Engineering</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1.21%</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26</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$41.42</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Geology</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0.91%</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20</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$34.43</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Radiology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0.70%</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15</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$30.33</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Religious Studies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0.63%</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14</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$25.07</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Philosophy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0.60%</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13</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$57.03</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History</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0.51%</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$21.91</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Respiratory Care</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0.50%</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11</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$30.42</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Theatre Arts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0.32%</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$33.52</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Fire Technology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0.31%</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$28.34</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Mathematics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0.31%</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7</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$36.57</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Art</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0.29%</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6</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$29.35</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Modern Languages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0.22%</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5</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$19.73</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English</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0.13%</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$30.33</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Music</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0.09%</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$25.67</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Economics</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0.07%</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$33.70</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Anthropology</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$25.48</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Geography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$27.26</w:t>
            </w:r>
          </w:p>
        </w:tc>
      </w:tr>
      <w:tr w:rsidR="00A465D8" w:rsidRPr="00A465D8" w:rsidTr="00A465D8">
        <w:trPr>
          <w:trHeight w:val="300"/>
          <w:jc w:val="center"/>
        </w:trPr>
        <w:tc>
          <w:tcPr>
            <w:tcW w:w="382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Physics</w:t>
            </w:r>
          </w:p>
        </w:tc>
        <w:tc>
          <w:tcPr>
            <w:tcW w:w="976"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744"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310" w:type="dxa"/>
            <w:tcBorders>
              <w:top w:val="nil"/>
              <w:left w:val="nil"/>
              <w:bottom w:val="nil"/>
              <w:right w:val="nil"/>
            </w:tcBorders>
            <w:shd w:val="clear" w:color="auto" w:fill="auto"/>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$46.04</w:t>
            </w:r>
          </w:p>
        </w:tc>
      </w:tr>
      <w:tr w:rsidR="00A465D8" w:rsidRPr="00A465D8" w:rsidTr="00A465D8">
        <w:trPr>
          <w:trHeight w:val="300"/>
          <w:jc w:val="center"/>
        </w:trPr>
        <w:tc>
          <w:tcPr>
            <w:tcW w:w="382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Sociology</w:t>
            </w:r>
          </w:p>
        </w:tc>
        <w:tc>
          <w:tcPr>
            <w:tcW w:w="976"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744"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w:t>
            </w:r>
          </w:p>
        </w:tc>
        <w:tc>
          <w:tcPr>
            <w:tcW w:w="1310" w:type="dxa"/>
            <w:tcBorders>
              <w:top w:val="nil"/>
              <w:left w:val="nil"/>
              <w:bottom w:val="nil"/>
              <w:right w:val="nil"/>
            </w:tcBorders>
            <w:shd w:val="clear" w:color="auto" w:fill="DBDBDB" w:themeFill="accent3" w:themeFillTint="66"/>
            <w:noWrap/>
            <w:vAlign w:val="bottom"/>
            <w:hideMark/>
          </w:tcPr>
          <w:p w:rsidR="00A465D8" w:rsidRPr="00A465D8" w:rsidRDefault="00A465D8" w:rsidP="00DD39FA">
            <w:pPr>
              <w:spacing w:after="0" w:line="240" w:lineRule="auto"/>
              <w:jc w:val="center"/>
              <w:rPr>
                <w:rFonts w:asciiTheme="minorHAnsi" w:eastAsia="Times New Roman" w:hAnsiTheme="minorHAnsi" w:cs="Times New Roman"/>
              </w:rPr>
            </w:pPr>
            <w:r w:rsidRPr="00A465D8">
              <w:rPr>
                <w:rFonts w:asciiTheme="minorHAnsi" w:eastAsia="Times New Roman" w:hAnsiTheme="minorHAnsi" w:cs="Times New Roman"/>
              </w:rPr>
              <w:t>$35.64</w:t>
            </w:r>
          </w:p>
        </w:tc>
      </w:tr>
    </w:tbl>
    <w:p w:rsidR="00A465D8" w:rsidRPr="00DD39FA" w:rsidRDefault="00A465D8" w:rsidP="00DD39FA">
      <w:pPr>
        <w:ind w:left="1260"/>
        <w:contextualSpacing/>
        <w:rPr>
          <w:rFonts w:asciiTheme="minorHAnsi" w:hAnsiTheme="minorHAnsi"/>
          <w:i/>
          <w:sz w:val="20"/>
          <w:szCs w:val="20"/>
        </w:rPr>
      </w:pPr>
      <w:r w:rsidRPr="00DD39FA">
        <w:rPr>
          <w:rFonts w:asciiTheme="minorHAnsi" w:hAnsiTheme="minorHAnsi"/>
          <w:i/>
          <w:sz w:val="20"/>
          <w:szCs w:val="20"/>
        </w:rPr>
        <w:t>Source: EMSI</w:t>
      </w:r>
    </w:p>
    <w:p w:rsidR="00A465D8" w:rsidRPr="00A465D8" w:rsidRDefault="00A465D8" w:rsidP="00A465D8">
      <w:pPr>
        <w:contextualSpacing/>
        <w:rPr>
          <w:rFonts w:asciiTheme="minorHAnsi" w:hAnsiTheme="minorHAnsi"/>
        </w:rPr>
      </w:pPr>
    </w:p>
    <w:p w:rsidR="000A65F1" w:rsidRDefault="00A465D8" w:rsidP="00294E15">
      <w:pPr>
        <w:spacing w:after="0" w:line="240" w:lineRule="auto"/>
        <w:contextualSpacing/>
        <w:jc w:val="both"/>
        <w:rPr>
          <w:rFonts w:asciiTheme="minorHAnsi" w:hAnsiTheme="minorHAnsi"/>
        </w:rPr>
      </w:pPr>
      <w:r w:rsidRPr="00A465D8">
        <w:rPr>
          <w:rFonts w:asciiTheme="minorHAnsi" w:hAnsiTheme="minorHAnsi"/>
        </w:rPr>
        <w:t>There are proj</w:t>
      </w:r>
      <w:r w:rsidR="007C650D">
        <w:rPr>
          <w:rFonts w:asciiTheme="minorHAnsi" w:hAnsiTheme="minorHAnsi"/>
        </w:rPr>
        <w:t>ected to be approximately 44,181</w:t>
      </w:r>
      <w:r w:rsidRPr="00A465D8">
        <w:rPr>
          <w:rFonts w:asciiTheme="minorHAnsi" w:hAnsiTheme="minorHAnsi"/>
        </w:rPr>
        <w:t xml:space="preserve"> average annual job openings between 2015 and 2025 in the region. Of these annual openings, </w:t>
      </w:r>
      <w:r w:rsidR="00294E15">
        <w:rPr>
          <w:rFonts w:asciiTheme="minorHAnsi" w:hAnsiTheme="minorHAnsi"/>
        </w:rPr>
        <w:t>29,768</w:t>
      </w:r>
      <w:r w:rsidRPr="00A465D8">
        <w:rPr>
          <w:rFonts w:asciiTheme="minorHAnsi" w:hAnsiTheme="minorHAnsi"/>
        </w:rPr>
        <w:t xml:space="preserve"> (</w:t>
      </w:r>
      <w:r w:rsidR="007C650D">
        <w:rPr>
          <w:rFonts w:asciiTheme="minorHAnsi" w:hAnsiTheme="minorHAnsi"/>
        </w:rPr>
        <w:t>67.38</w:t>
      </w:r>
      <w:r w:rsidRPr="00A465D8">
        <w:rPr>
          <w:rFonts w:asciiTheme="minorHAnsi" w:hAnsiTheme="minorHAnsi"/>
        </w:rPr>
        <w:t xml:space="preserve">%) typically require an </w:t>
      </w:r>
      <w:r w:rsidR="00246D5D">
        <w:rPr>
          <w:rFonts w:asciiTheme="minorHAnsi" w:hAnsiTheme="minorHAnsi"/>
        </w:rPr>
        <w:t xml:space="preserve">entry level education of </w:t>
      </w:r>
      <w:r w:rsidR="00294E15">
        <w:rPr>
          <w:rFonts w:asciiTheme="minorHAnsi" w:hAnsiTheme="minorHAnsi"/>
        </w:rPr>
        <w:t>a high school diploma/</w:t>
      </w:r>
      <w:r w:rsidRPr="00A465D8">
        <w:rPr>
          <w:rFonts w:asciiTheme="minorHAnsi" w:hAnsiTheme="minorHAnsi"/>
        </w:rPr>
        <w:t xml:space="preserve"> equivalent</w:t>
      </w:r>
      <w:r w:rsidR="00294E15">
        <w:rPr>
          <w:rFonts w:asciiTheme="minorHAnsi" w:hAnsiTheme="minorHAnsi"/>
        </w:rPr>
        <w:t xml:space="preserve"> or less</w:t>
      </w:r>
      <w:r w:rsidRPr="00A465D8">
        <w:rPr>
          <w:rFonts w:asciiTheme="minorHAnsi" w:hAnsiTheme="minorHAnsi"/>
        </w:rPr>
        <w:t xml:space="preserve">, 584 (1.32%) typically require </w:t>
      </w:r>
      <w:r w:rsidR="006C4248">
        <w:rPr>
          <w:rFonts w:asciiTheme="minorHAnsi" w:hAnsiTheme="minorHAnsi"/>
        </w:rPr>
        <w:t>som</w:t>
      </w:r>
      <w:r w:rsidR="007C650D">
        <w:rPr>
          <w:rFonts w:asciiTheme="minorHAnsi" w:hAnsiTheme="minorHAnsi"/>
        </w:rPr>
        <w:t>e college, 3,533 (8</w:t>
      </w:r>
      <w:r w:rsidRPr="00A465D8">
        <w:rPr>
          <w:rFonts w:asciiTheme="minorHAnsi" w:hAnsiTheme="minorHAnsi"/>
        </w:rPr>
        <w:t>%) typically require an entry level education of a postsecond</w:t>
      </w:r>
      <w:r w:rsidR="007C650D">
        <w:rPr>
          <w:rFonts w:asciiTheme="minorHAnsi" w:hAnsiTheme="minorHAnsi"/>
        </w:rPr>
        <w:t>ary non-degree award, 1,939 (4.39</w:t>
      </w:r>
      <w:r w:rsidRPr="00A465D8">
        <w:rPr>
          <w:rFonts w:asciiTheme="minorHAnsi" w:hAnsiTheme="minorHAnsi"/>
        </w:rPr>
        <w:t>%) typically require an Associat</w:t>
      </w:r>
      <w:r w:rsidR="007C650D">
        <w:rPr>
          <w:rFonts w:asciiTheme="minorHAnsi" w:hAnsiTheme="minorHAnsi"/>
        </w:rPr>
        <w:t>e’s degree, 6,447 (14.59</w:t>
      </w:r>
      <w:r w:rsidRPr="00A465D8">
        <w:rPr>
          <w:rFonts w:asciiTheme="minorHAnsi" w:hAnsiTheme="minorHAnsi"/>
        </w:rPr>
        <w:t xml:space="preserve">%) </w:t>
      </w:r>
      <w:r w:rsidR="006C4248">
        <w:rPr>
          <w:rFonts w:asciiTheme="minorHAnsi" w:hAnsiTheme="minorHAnsi"/>
        </w:rPr>
        <w:t>have an</w:t>
      </w:r>
      <w:r w:rsidRPr="00A465D8">
        <w:rPr>
          <w:rFonts w:asciiTheme="minorHAnsi" w:hAnsiTheme="minorHAnsi"/>
        </w:rPr>
        <w:t xml:space="preserve"> entry level education of a Bachelor’s degree, </w:t>
      </w:r>
      <w:r w:rsidR="00294E15">
        <w:rPr>
          <w:rFonts w:asciiTheme="minorHAnsi" w:hAnsiTheme="minorHAnsi"/>
        </w:rPr>
        <w:t>and 1,910</w:t>
      </w:r>
      <w:r w:rsidRPr="00A465D8">
        <w:rPr>
          <w:rFonts w:asciiTheme="minorHAnsi" w:hAnsiTheme="minorHAnsi"/>
        </w:rPr>
        <w:t xml:space="preserve"> (</w:t>
      </w:r>
      <w:r w:rsidR="007C650D">
        <w:rPr>
          <w:rFonts w:asciiTheme="minorHAnsi" w:hAnsiTheme="minorHAnsi"/>
        </w:rPr>
        <w:t>4.32</w:t>
      </w:r>
      <w:r w:rsidRPr="00A465D8">
        <w:rPr>
          <w:rFonts w:asciiTheme="minorHAnsi" w:hAnsiTheme="minorHAnsi"/>
        </w:rPr>
        <w:t xml:space="preserve">%) typically require a Master’s degree </w:t>
      </w:r>
      <w:r w:rsidR="00294E15">
        <w:rPr>
          <w:rFonts w:asciiTheme="minorHAnsi" w:hAnsiTheme="minorHAnsi"/>
        </w:rPr>
        <w:t xml:space="preserve">or higher. </w:t>
      </w:r>
    </w:p>
    <w:p w:rsidR="000A65F1" w:rsidRDefault="000A65F1" w:rsidP="00294E15">
      <w:pPr>
        <w:spacing w:after="0" w:line="240" w:lineRule="auto"/>
        <w:contextualSpacing/>
        <w:jc w:val="both"/>
        <w:rPr>
          <w:rFonts w:asciiTheme="minorHAnsi" w:hAnsiTheme="minorHAnsi"/>
        </w:rPr>
      </w:pPr>
    </w:p>
    <w:p w:rsidR="00487664" w:rsidRPr="009C348E" w:rsidRDefault="00294E15" w:rsidP="009C348E">
      <w:pPr>
        <w:contextualSpacing/>
        <w:jc w:val="both"/>
        <w:rPr>
          <w:rFonts w:asciiTheme="minorHAnsi" w:hAnsiTheme="minorHAnsi"/>
        </w:rPr>
      </w:pPr>
      <w:r>
        <w:rPr>
          <w:rFonts w:asciiTheme="minorHAnsi" w:hAnsiTheme="minorHAnsi"/>
        </w:rPr>
        <w:lastRenderedPageBreak/>
        <w:t xml:space="preserve">Again, it should be </w:t>
      </w:r>
      <w:r w:rsidRPr="00A465D8">
        <w:rPr>
          <w:rFonts w:asciiTheme="minorHAnsi" w:hAnsiTheme="minorHAnsi"/>
        </w:rPr>
        <w:t>note</w:t>
      </w:r>
      <w:r>
        <w:rPr>
          <w:rFonts w:asciiTheme="minorHAnsi" w:hAnsiTheme="minorHAnsi"/>
        </w:rPr>
        <w:t>d</w:t>
      </w:r>
      <w:r w:rsidRPr="00A465D8">
        <w:rPr>
          <w:rFonts w:asciiTheme="minorHAnsi" w:hAnsiTheme="minorHAnsi"/>
        </w:rPr>
        <w:t xml:space="preserve"> that occupations with an average hourly wage of less than $12 were excluded, as were those occupations with insufficient data to determine average hourly wages. </w:t>
      </w:r>
      <w:r w:rsidR="000A65F1">
        <w:rPr>
          <w:rFonts w:asciiTheme="minorHAnsi" w:hAnsiTheme="minorHAnsi"/>
        </w:rPr>
        <w:t>Additionally, typical entry level education required is determined by the minimum qualifications identified by the U.S. Department of Labor and Bureau of Labor Statistics.  Although a job may be identified as requiring a typical entry level education of high school diploma or equivalent, in many circumstances the Department of Labor and Bureau of Labor Statistics recommends some level of continuing higher education to be competitive for obtaining that particular job.</w:t>
      </w:r>
    </w:p>
    <w:p w:rsidR="00A465D8" w:rsidRPr="00A465D8" w:rsidRDefault="00A465D8" w:rsidP="0010631B">
      <w:pPr>
        <w:pStyle w:val="NoSpacing"/>
        <w:contextualSpacing/>
        <w:jc w:val="center"/>
        <w:rPr>
          <w:b/>
          <w:color w:val="008000"/>
        </w:rPr>
      </w:pPr>
      <w:r w:rsidRPr="00A465D8">
        <w:rPr>
          <w:b/>
          <w:color w:val="008000"/>
        </w:rPr>
        <w:t>Exhibit 4.XX Regional Average Annual Job Op</w:t>
      </w:r>
      <w:r w:rsidR="0010631B">
        <w:rPr>
          <w:b/>
          <w:color w:val="008000"/>
        </w:rPr>
        <w:t xml:space="preserve">enings by Entry Level Education </w:t>
      </w:r>
      <w:r w:rsidRPr="00A465D8">
        <w:rPr>
          <w:b/>
          <w:color w:val="008000"/>
        </w:rPr>
        <w:t>(2015 – 2025)</w:t>
      </w:r>
    </w:p>
    <w:p w:rsidR="00A465D8" w:rsidRPr="00A465D8" w:rsidRDefault="007C650D" w:rsidP="00A465D8">
      <w:pPr>
        <w:pStyle w:val="NoSpacing"/>
        <w:contextualSpacing/>
        <w:jc w:val="center"/>
        <w:rPr>
          <w:b/>
          <w:color w:val="008000"/>
        </w:rPr>
      </w:pPr>
      <w:r>
        <w:rPr>
          <w:noProof/>
          <w:lang w:eastAsia="en-US"/>
        </w:rPr>
        <w:drawing>
          <wp:inline distT="0" distB="0" distL="0" distR="0">
            <wp:extent cx="4533900" cy="2362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65D8" w:rsidRPr="00294E15" w:rsidRDefault="00A465D8" w:rsidP="00294E15">
      <w:pPr>
        <w:pStyle w:val="NoSpacing"/>
        <w:ind w:left="810"/>
        <w:contextualSpacing/>
        <w:rPr>
          <w:i/>
          <w:sz w:val="20"/>
          <w:szCs w:val="20"/>
        </w:rPr>
      </w:pPr>
      <w:r w:rsidRPr="00294E15">
        <w:rPr>
          <w:i/>
          <w:sz w:val="20"/>
          <w:szCs w:val="20"/>
        </w:rPr>
        <w:t>Source: EMSI</w:t>
      </w:r>
    </w:p>
    <w:p w:rsidR="00A465D8" w:rsidRPr="005E1191" w:rsidRDefault="00A465D8" w:rsidP="00A465D8">
      <w:pPr>
        <w:pStyle w:val="NoSpacing"/>
        <w:contextualSpacing/>
      </w:pPr>
    </w:p>
    <w:p w:rsidR="00D9315A" w:rsidRDefault="00487664" w:rsidP="009C348E">
      <w:pPr>
        <w:contextualSpacing/>
        <w:jc w:val="both"/>
        <w:rPr>
          <w:rFonts w:asciiTheme="minorHAnsi" w:hAnsiTheme="minorHAnsi"/>
        </w:rPr>
      </w:pPr>
      <w:r w:rsidRPr="009C348E">
        <w:rPr>
          <w:rFonts w:asciiTheme="minorHAnsi" w:hAnsiTheme="minorHAnsi"/>
        </w:rPr>
        <w:t xml:space="preserve">Of the occupations with the most expected annual openings within the </w:t>
      </w:r>
      <w:r w:rsidR="009C348E" w:rsidRPr="009C348E">
        <w:rPr>
          <w:rFonts w:asciiTheme="minorHAnsi" w:hAnsiTheme="minorHAnsi"/>
        </w:rPr>
        <w:t>region</w:t>
      </w:r>
      <w:r w:rsidRPr="009C348E">
        <w:rPr>
          <w:rFonts w:asciiTheme="minorHAnsi" w:hAnsiTheme="minorHAnsi"/>
        </w:rPr>
        <w:t xml:space="preserve"> by the year 2025, CHC may be in a position to provide instruction that would supply workers for the following jobs: </w:t>
      </w:r>
      <w:r w:rsidR="00D9315A">
        <w:rPr>
          <w:rFonts w:asciiTheme="minorHAnsi" w:hAnsiTheme="minorHAnsi"/>
        </w:rPr>
        <w:t xml:space="preserve">registered nurses, nursing assistants, licensed practical/vocational nurses, home health aides, , medical secretaries, elementary &amp; postsecondary teachers, teacher assistants, customer service representatives, general and operations managers, first-line supervisors of office/administrative support/retail sales/food prep. </w:t>
      </w:r>
      <w:proofErr w:type="gramStart"/>
      <w:r w:rsidR="00D9315A">
        <w:rPr>
          <w:rFonts w:asciiTheme="minorHAnsi" w:hAnsiTheme="minorHAnsi"/>
        </w:rPr>
        <w:t>workers</w:t>
      </w:r>
      <w:proofErr w:type="gramEnd"/>
      <w:r w:rsidR="00D9315A">
        <w:rPr>
          <w:rFonts w:asciiTheme="minorHAnsi" w:hAnsiTheme="minorHAnsi"/>
        </w:rPr>
        <w:t xml:space="preserve">, sales representatives in wholesale and manufacturing, </w:t>
      </w:r>
      <w:r w:rsidR="00D526CD">
        <w:rPr>
          <w:rFonts w:asciiTheme="minorHAnsi" w:hAnsiTheme="minorHAnsi"/>
        </w:rPr>
        <w:t xml:space="preserve">secretaries/administrative assistants, </w:t>
      </w:r>
      <w:r w:rsidR="00D9315A">
        <w:rPr>
          <w:rFonts w:asciiTheme="minorHAnsi" w:hAnsiTheme="minorHAnsi"/>
        </w:rPr>
        <w:t>and accountants/auditors.</w:t>
      </w:r>
    </w:p>
    <w:p w:rsidR="00D9315A" w:rsidRDefault="00D9315A" w:rsidP="009C348E">
      <w:pPr>
        <w:contextualSpacing/>
        <w:jc w:val="both"/>
        <w:rPr>
          <w:rFonts w:asciiTheme="minorHAnsi" w:hAnsiTheme="minorHAnsi"/>
        </w:rPr>
      </w:pPr>
    </w:p>
    <w:p w:rsidR="00EA09BF" w:rsidRDefault="00254671" w:rsidP="009C348E">
      <w:pPr>
        <w:contextualSpacing/>
        <w:jc w:val="both"/>
        <w:rPr>
          <w:rFonts w:asciiTheme="minorHAnsi" w:hAnsiTheme="minorHAnsi"/>
        </w:rPr>
      </w:pPr>
      <w:r>
        <w:rPr>
          <w:rFonts w:asciiTheme="minorHAnsi" w:hAnsiTheme="minorHAnsi"/>
        </w:rPr>
        <w:t>For a full listing of average annual job openings by occupation</w:t>
      </w:r>
      <w:r w:rsidR="00EA09BF" w:rsidRPr="00A465D8">
        <w:rPr>
          <w:rFonts w:asciiTheme="minorHAnsi" w:hAnsiTheme="minorHAnsi"/>
        </w:rPr>
        <w:t xml:space="preserve"> in the region please refer to </w:t>
      </w:r>
      <w:r w:rsidR="00EA09BF">
        <w:rPr>
          <w:rFonts w:asciiTheme="minorHAnsi" w:hAnsiTheme="minorHAnsi"/>
          <w:highlight w:val="yellow"/>
        </w:rPr>
        <w:t>Appendix X</w:t>
      </w:r>
      <w:r w:rsidR="00EA09BF" w:rsidRPr="00A465D8">
        <w:rPr>
          <w:rFonts w:asciiTheme="minorHAnsi" w:hAnsiTheme="minorHAnsi"/>
          <w:highlight w:val="yellow"/>
        </w:rPr>
        <w:t>.</w:t>
      </w: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Default="00EA09BF" w:rsidP="009C348E">
      <w:pPr>
        <w:contextualSpacing/>
        <w:jc w:val="both"/>
        <w:rPr>
          <w:rFonts w:asciiTheme="minorHAnsi" w:hAnsiTheme="minorHAnsi"/>
        </w:rPr>
      </w:pPr>
    </w:p>
    <w:p w:rsidR="00EA09BF" w:rsidRPr="009C348E" w:rsidRDefault="00EA09BF" w:rsidP="009C348E">
      <w:pPr>
        <w:contextualSpacing/>
        <w:jc w:val="both"/>
        <w:rPr>
          <w:rFonts w:asciiTheme="minorHAnsi" w:hAnsiTheme="minorHAnsi"/>
        </w:rPr>
      </w:pPr>
    </w:p>
    <w:p w:rsidR="00487664" w:rsidRDefault="00487664" w:rsidP="00487664">
      <w:pPr>
        <w:contextualSpacing/>
        <w:jc w:val="center"/>
        <w:rPr>
          <w:rFonts w:asciiTheme="minorHAnsi" w:hAnsiTheme="minorHAnsi"/>
          <w:b/>
          <w:color w:val="008000"/>
        </w:rPr>
      </w:pPr>
      <w:r w:rsidRPr="008B3331">
        <w:rPr>
          <w:rFonts w:asciiTheme="minorHAnsi" w:hAnsiTheme="minorHAnsi"/>
          <w:b/>
          <w:color w:val="008000"/>
        </w:rPr>
        <w:lastRenderedPageBreak/>
        <w:t xml:space="preserve">Exhibit 4.XX Top 30 </w:t>
      </w:r>
      <w:r>
        <w:rPr>
          <w:rFonts w:asciiTheme="minorHAnsi" w:hAnsiTheme="minorHAnsi"/>
          <w:b/>
          <w:color w:val="008000"/>
        </w:rPr>
        <w:t>Regional</w:t>
      </w:r>
      <w:r w:rsidRPr="008B3331">
        <w:rPr>
          <w:rFonts w:asciiTheme="minorHAnsi" w:hAnsiTheme="minorHAnsi"/>
          <w:b/>
          <w:color w:val="008000"/>
        </w:rPr>
        <w:t xml:space="preserve"> Average Annual Job Openings </w:t>
      </w:r>
      <w:r>
        <w:rPr>
          <w:rFonts w:asciiTheme="minorHAnsi" w:hAnsiTheme="minorHAnsi"/>
          <w:b/>
          <w:color w:val="008000"/>
        </w:rPr>
        <w:t xml:space="preserve">by Occupation </w:t>
      </w:r>
      <w:r w:rsidRPr="008B3331">
        <w:rPr>
          <w:rFonts w:asciiTheme="minorHAnsi" w:hAnsiTheme="minorHAnsi"/>
          <w:b/>
          <w:color w:val="008000"/>
        </w:rPr>
        <w:t>(2015 – 2025)</w:t>
      </w:r>
    </w:p>
    <w:tbl>
      <w:tblPr>
        <w:tblW w:w="11785" w:type="dxa"/>
        <w:tblInd w:w="-1062" w:type="dxa"/>
        <w:tblLayout w:type="fixed"/>
        <w:tblLook w:val="04A0" w:firstRow="1" w:lastRow="0" w:firstColumn="1" w:lastColumn="0" w:noHBand="0" w:noVBand="1"/>
      </w:tblPr>
      <w:tblGrid>
        <w:gridCol w:w="5940"/>
        <w:gridCol w:w="1139"/>
        <w:gridCol w:w="841"/>
        <w:gridCol w:w="843"/>
        <w:gridCol w:w="990"/>
        <w:gridCol w:w="960"/>
        <w:gridCol w:w="1072"/>
      </w:tblGrid>
      <w:tr w:rsidR="009C348E" w:rsidRPr="009C348E" w:rsidTr="009C348E">
        <w:trPr>
          <w:trHeight w:val="705"/>
        </w:trPr>
        <w:tc>
          <w:tcPr>
            <w:tcW w:w="594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Description</w:t>
            </w:r>
          </w:p>
        </w:tc>
        <w:tc>
          <w:tcPr>
            <w:tcW w:w="1139"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Annual Openings</w:t>
            </w:r>
          </w:p>
        </w:tc>
        <w:tc>
          <w:tcPr>
            <w:tcW w:w="841"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2015 Jobs</w:t>
            </w:r>
          </w:p>
        </w:tc>
        <w:tc>
          <w:tcPr>
            <w:tcW w:w="843"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2025 Jobs</w:t>
            </w:r>
          </w:p>
        </w:tc>
        <w:tc>
          <w:tcPr>
            <w:tcW w:w="990"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2015 - 2025 Change</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2015 - 2025 % Change</w:t>
            </w:r>
          </w:p>
        </w:tc>
        <w:tc>
          <w:tcPr>
            <w:tcW w:w="1072" w:type="dxa"/>
            <w:tcBorders>
              <w:top w:val="single" w:sz="4" w:space="0" w:color="auto"/>
              <w:left w:val="nil"/>
              <w:bottom w:val="single" w:sz="4" w:space="0" w:color="auto"/>
              <w:right w:val="single" w:sz="4" w:space="0" w:color="auto"/>
            </w:tcBorders>
            <w:shd w:val="clear" w:color="000000" w:fill="76933C"/>
            <w:vAlign w:val="center"/>
            <w:hideMark/>
          </w:tcPr>
          <w:p w:rsidR="009C348E" w:rsidRPr="009C348E" w:rsidRDefault="009C348E" w:rsidP="009C348E">
            <w:pPr>
              <w:spacing w:after="0" w:line="240" w:lineRule="auto"/>
              <w:jc w:val="center"/>
              <w:rPr>
                <w:rFonts w:asciiTheme="minorHAnsi" w:eastAsia="Times New Roman" w:hAnsiTheme="minorHAnsi" w:cs="Arial"/>
                <w:b/>
                <w:bCs/>
                <w:color w:val="FFFFFF"/>
              </w:rPr>
            </w:pPr>
            <w:r w:rsidRPr="009C348E">
              <w:rPr>
                <w:rFonts w:asciiTheme="minorHAnsi" w:eastAsia="Times New Roman" w:hAnsiTheme="minorHAnsi" w:cs="Arial"/>
                <w:b/>
                <w:bCs/>
                <w:color w:val="FFFFFF"/>
              </w:rPr>
              <w:t>Avg. Hourly Earnings</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rPr>
                <w:rFonts w:asciiTheme="minorHAnsi" w:eastAsia="Times New Roman" w:hAnsiTheme="minorHAnsi" w:cs="Arial"/>
                <w:color w:val="auto"/>
              </w:rPr>
            </w:pPr>
            <w:r w:rsidRPr="009C348E">
              <w:rPr>
                <w:rFonts w:asciiTheme="minorHAnsi" w:eastAsia="Times New Roman" w:hAnsiTheme="minorHAnsi" w:cs="Arial"/>
                <w:color w:val="auto"/>
              </w:rPr>
              <w:t>Retail Salespersons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3,052</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49,183</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60,673</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11,490</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23%</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$12.46</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rPr>
                <w:rFonts w:asciiTheme="minorHAnsi" w:eastAsia="Times New Roman" w:hAnsiTheme="minorHAnsi" w:cs="Arial"/>
                <w:color w:val="auto"/>
              </w:rPr>
            </w:pPr>
            <w:r w:rsidRPr="009C348E">
              <w:rPr>
                <w:rFonts w:asciiTheme="minorHAnsi" w:eastAsia="Times New Roman" w:hAnsiTheme="minorHAnsi" w:cs="Arial"/>
                <w:color w:val="auto"/>
              </w:rPr>
              <w:t>Laborers and Freight, Stock, and Material Movers, Hand</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2,624</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47,382</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57,228</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9,846</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$13.45</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rPr>
                <w:rFonts w:asciiTheme="minorHAnsi" w:eastAsia="Times New Roman" w:hAnsiTheme="minorHAnsi" w:cs="Arial"/>
                <w:color w:val="auto"/>
              </w:rPr>
            </w:pPr>
            <w:r w:rsidRPr="009C348E">
              <w:rPr>
                <w:rFonts w:asciiTheme="minorHAnsi" w:eastAsia="Times New Roman" w:hAnsiTheme="minorHAnsi" w:cs="Arial"/>
                <w:color w:val="auto"/>
              </w:rPr>
              <w:t>Stock Clerks and Order Fillers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1,209</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26,373</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29,870</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3,497</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$12.83</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Registered Nurses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1,076</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24,849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30,146</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5,297</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$43.04</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Heavy and Tractor-Trailer Truck Drivers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1,022</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26,335</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31,860</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5,525</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$22.84</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Office Clerks, General</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926</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29,566</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32,330</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2,764</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$14.57</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Customer Service Representatives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833</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16,189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19,613</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3,424</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$17.62</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General and Operations Managers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716</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20,281</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23,346</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3,065</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$51.21</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Security Guards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650</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15,768</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19,495</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3,727</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24%</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$12.10</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Janitors/Cleaners, Except Maids and Housekeeping Cleaners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610</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18,992</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21,282</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2,290</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$13.55</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First-Line Supervisors of Retail Sales Workers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608</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13,373</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16,191</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2,818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$20.79</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First-Line Supervisors of Office and Admin. Support Workers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607</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14,391</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16,735</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2,344</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$25.37</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Packers and Packagers, Hand</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584</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12,300</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14,577</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2,277</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$12.09</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 xml:space="preserve">Landscaping and </w:t>
            </w:r>
            <w:proofErr w:type="spellStart"/>
            <w:r w:rsidRPr="00EA09BF">
              <w:rPr>
                <w:rFonts w:asciiTheme="minorHAnsi" w:eastAsia="Times New Roman" w:hAnsiTheme="minorHAnsi" w:cs="Arial"/>
                <w:color w:val="auto"/>
              </w:rPr>
              <w:t>Groundskeeping</w:t>
            </w:r>
            <w:proofErr w:type="spellEnd"/>
            <w:r w:rsidRPr="00EA09BF">
              <w:rPr>
                <w:rFonts w:asciiTheme="minorHAnsi" w:eastAsia="Times New Roman" w:hAnsiTheme="minorHAnsi" w:cs="Arial"/>
                <w:color w:val="auto"/>
              </w:rPr>
              <w:t xml:space="preserve"> Workers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576</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14,111</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16,053</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1,942</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$12.33</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Elementary School Teachers, Except Special Education</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569</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16,400</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18,248</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1,848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$35.11</w:t>
            </w:r>
          </w:p>
        </w:tc>
      </w:tr>
      <w:tr w:rsidR="009C348E" w:rsidRPr="009C348E" w:rsidTr="009C348E">
        <w:trPr>
          <w:trHeight w:val="255"/>
        </w:trPr>
        <w:tc>
          <w:tcPr>
            <w:tcW w:w="5940" w:type="dxa"/>
            <w:tcBorders>
              <w:top w:val="single" w:sz="4" w:space="0" w:color="auto"/>
              <w:left w:val="single" w:sz="4" w:space="0" w:color="auto"/>
              <w:bottom w:val="single" w:sz="4" w:space="0" w:color="auto"/>
              <w:right w:val="nil"/>
            </w:tcBorders>
            <w:shd w:val="clear" w:color="auto" w:fill="auto"/>
            <w:noWrap/>
            <w:vAlign w:val="bottom"/>
            <w:hideMark/>
          </w:tcPr>
          <w:p w:rsidR="009C348E" w:rsidRPr="00EA09BF" w:rsidRDefault="00FE4AEB" w:rsidP="009C348E">
            <w:pPr>
              <w:spacing w:after="0" w:line="240" w:lineRule="auto"/>
              <w:rPr>
                <w:rFonts w:asciiTheme="minorHAnsi" w:eastAsia="Times New Roman" w:hAnsiTheme="minorHAnsi" w:cs="Arial"/>
                <w:color w:val="auto"/>
              </w:rPr>
            </w:pPr>
            <w:r>
              <w:rPr>
                <w:rFonts w:asciiTheme="minorHAnsi" w:eastAsia="Times New Roman" w:hAnsiTheme="minorHAnsi" w:cs="Arial"/>
                <w:color w:val="auto"/>
              </w:rPr>
              <w:t>Sales Rep</w:t>
            </w:r>
            <w:r w:rsidR="009C348E" w:rsidRPr="00EA09BF">
              <w:rPr>
                <w:rFonts w:asciiTheme="minorHAnsi" w:eastAsia="Times New Roman" w:hAnsiTheme="minorHAnsi" w:cs="Arial"/>
                <w:color w:val="auto"/>
              </w:rPr>
              <w:t>s</w:t>
            </w:r>
            <w:r>
              <w:rPr>
                <w:rFonts w:asciiTheme="minorHAnsi" w:eastAsia="Times New Roman" w:hAnsiTheme="minorHAnsi" w:cs="Arial"/>
                <w:color w:val="auto"/>
              </w:rPr>
              <w:t>.</w:t>
            </w:r>
            <w:r w:rsidR="009C348E" w:rsidRPr="00EA09BF">
              <w:rPr>
                <w:rFonts w:asciiTheme="minorHAnsi" w:eastAsia="Times New Roman" w:hAnsiTheme="minorHAnsi" w:cs="Arial"/>
                <w:color w:val="auto"/>
              </w:rPr>
              <w:t>, Wholesale &amp; Manuf., Except Tech./Sci. Products</w:t>
            </w:r>
          </w:p>
        </w:tc>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541</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11,759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14,587</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2,828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24%</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$31.15</w:t>
            </w:r>
          </w:p>
        </w:tc>
      </w:tr>
      <w:tr w:rsidR="009C348E" w:rsidRPr="009C348E" w:rsidTr="009C348E">
        <w:trPr>
          <w:trHeight w:val="255"/>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Nursing Assistants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533</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9,577</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12,714</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3,137</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33%</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$13.61</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First-Line Supervisors of Food Preparation &amp; Serving Workers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528</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9,361</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11,627</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2,266</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24%</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$15.07</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Secretaries/Admin. Assts., Except Legal, Medical, &amp; Executive</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516</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17,907</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20,732</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2,825</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$17.85</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Home Health Aides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437</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4,029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7,240</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3,211</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80%</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$13.32</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Construction Laborers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418</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11,705</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12,926</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1,221</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10%</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$20.01</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Maintenance and Repair Workers, General</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413</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12,074</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13,722</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1,648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$18.77</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Teacher Assistants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413</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13,372</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14,340</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968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7%</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$14.32</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Shipping, Receiving, and Traffic Clerks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409</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9,840</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11,155</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1,315</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$15.24</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Receptionists and Information Clerks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401</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8,579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10,048</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1,469</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17%</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$13.51</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Industrial Truck and Tractor Operators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398</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9,849</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11,357</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1,508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$15.89</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Accountants and Auditors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393</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7,554</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9,014</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1,460</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$33.59</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Postsecondary Teachers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392</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10,851</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12,959</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2,108</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$41.66</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Licensed Practical and Licensed Vocational Nurses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359</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6,562</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8,286</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1,724</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26%</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$23.06</w:t>
            </w:r>
          </w:p>
        </w:tc>
      </w:tr>
      <w:tr w:rsidR="009C348E" w:rsidRPr="009C348E" w:rsidTr="009C348E">
        <w:trPr>
          <w:trHeight w:val="255"/>
        </w:trPr>
        <w:tc>
          <w:tcPr>
            <w:tcW w:w="5940" w:type="dxa"/>
            <w:tcBorders>
              <w:top w:val="nil"/>
              <w:left w:val="single" w:sz="4" w:space="0" w:color="auto"/>
              <w:bottom w:val="single" w:sz="4" w:space="0" w:color="auto"/>
              <w:right w:val="single" w:sz="4" w:space="0" w:color="auto"/>
            </w:tcBorders>
            <w:shd w:val="clear" w:color="auto" w:fill="auto"/>
            <w:noWrap/>
            <w:vAlign w:val="center"/>
            <w:hideMark/>
          </w:tcPr>
          <w:p w:rsidR="009C348E" w:rsidRPr="00EA09BF" w:rsidRDefault="009C348E" w:rsidP="009C348E">
            <w:pPr>
              <w:spacing w:after="0" w:line="240" w:lineRule="auto"/>
              <w:rPr>
                <w:rFonts w:asciiTheme="minorHAnsi" w:eastAsia="Times New Roman" w:hAnsiTheme="minorHAnsi" w:cs="Arial"/>
                <w:color w:val="auto"/>
              </w:rPr>
            </w:pPr>
            <w:r w:rsidRPr="00EA09BF">
              <w:rPr>
                <w:rFonts w:asciiTheme="minorHAnsi" w:eastAsia="Times New Roman" w:hAnsiTheme="minorHAnsi" w:cs="Arial"/>
                <w:color w:val="auto"/>
              </w:rPr>
              <w:t>Bookkeeping, Accounting, and Auditing Clerks</w:t>
            </w:r>
          </w:p>
        </w:tc>
        <w:tc>
          <w:tcPr>
            <w:tcW w:w="1139"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347</w:t>
            </w:r>
          </w:p>
        </w:tc>
        <w:tc>
          <w:tcPr>
            <w:tcW w:w="841"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13,270</w:t>
            </w:r>
          </w:p>
        </w:tc>
        <w:tc>
          <w:tcPr>
            <w:tcW w:w="843"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15,416</w:t>
            </w:r>
          </w:p>
        </w:tc>
        <w:tc>
          <w:tcPr>
            <w:tcW w:w="99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2,146</w:t>
            </w:r>
          </w:p>
        </w:tc>
        <w:tc>
          <w:tcPr>
            <w:tcW w:w="960"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16%</w:t>
            </w:r>
          </w:p>
        </w:tc>
        <w:tc>
          <w:tcPr>
            <w:tcW w:w="1072" w:type="dxa"/>
            <w:tcBorders>
              <w:top w:val="nil"/>
              <w:left w:val="nil"/>
              <w:bottom w:val="single" w:sz="4" w:space="0" w:color="auto"/>
              <w:right w:val="single" w:sz="4" w:space="0" w:color="auto"/>
            </w:tcBorders>
            <w:shd w:val="clear" w:color="auto" w:fill="auto"/>
            <w:noWrap/>
            <w:vAlign w:val="center"/>
            <w:hideMark/>
          </w:tcPr>
          <w:p w:rsidR="009C348E" w:rsidRPr="009C348E" w:rsidRDefault="009C348E" w:rsidP="009C348E">
            <w:pPr>
              <w:spacing w:after="0" w:line="240" w:lineRule="auto"/>
              <w:jc w:val="center"/>
              <w:rPr>
                <w:rFonts w:asciiTheme="minorHAnsi" w:eastAsia="Times New Roman" w:hAnsiTheme="minorHAnsi" w:cs="Arial"/>
                <w:color w:val="auto"/>
              </w:rPr>
            </w:pPr>
            <w:r w:rsidRPr="009C348E">
              <w:rPr>
                <w:rFonts w:asciiTheme="minorHAnsi" w:eastAsia="Times New Roman" w:hAnsiTheme="minorHAnsi" w:cs="Arial"/>
                <w:color w:val="auto"/>
              </w:rPr>
              <w:t>$19.07</w:t>
            </w:r>
          </w:p>
        </w:tc>
      </w:tr>
    </w:tbl>
    <w:p w:rsidR="00EA09BF" w:rsidRPr="00DD39FA" w:rsidRDefault="00EA09BF" w:rsidP="00EA09BF">
      <w:pPr>
        <w:ind w:left="-1170"/>
        <w:contextualSpacing/>
        <w:rPr>
          <w:rFonts w:asciiTheme="minorHAnsi" w:hAnsiTheme="minorHAnsi"/>
          <w:i/>
          <w:sz w:val="20"/>
          <w:szCs w:val="20"/>
        </w:rPr>
      </w:pPr>
      <w:r w:rsidRPr="00DD39FA">
        <w:rPr>
          <w:rFonts w:asciiTheme="minorHAnsi" w:hAnsiTheme="minorHAnsi"/>
          <w:i/>
          <w:sz w:val="20"/>
          <w:szCs w:val="20"/>
        </w:rPr>
        <w:t>Source: EMSI</w:t>
      </w:r>
    </w:p>
    <w:p w:rsidR="00487664" w:rsidRDefault="00487664" w:rsidP="00487664">
      <w:pPr>
        <w:contextualSpacing/>
        <w:rPr>
          <w:rFonts w:asciiTheme="minorHAnsi" w:hAnsiTheme="minorHAnsi"/>
          <w:b/>
          <w:color w:val="008000"/>
        </w:rPr>
      </w:pPr>
    </w:p>
    <w:p w:rsidR="00A465D8" w:rsidRPr="00A465D8" w:rsidRDefault="002C5023" w:rsidP="0010631B">
      <w:pPr>
        <w:contextualSpacing/>
        <w:jc w:val="both"/>
        <w:rPr>
          <w:rFonts w:asciiTheme="minorHAnsi" w:hAnsiTheme="minorHAnsi"/>
        </w:rPr>
      </w:pPr>
      <w:r>
        <w:rPr>
          <w:rFonts w:asciiTheme="minorHAnsi" w:hAnsiTheme="minorHAnsi"/>
        </w:rPr>
        <w:t>Of the 44,1</w:t>
      </w:r>
      <w:r w:rsidR="007C650D">
        <w:rPr>
          <w:rFonts w:asciiTheme="minorHAnsi" w:hAnsiTheme="minorHAnsi"/>
        </w:rPr>
        <w:t>81</w:t>
      </w:r>
      <w:r w:rsidR="00A465D8" w:rsidRPr="00A465D8">
        <w:rPr>
          <w:rFonts w:asciiTheme="minorHAnsi" w:hAnsiTheme="minorHAnsi"/>
        </w:rPr>
        <w:t xml:space="preserve"> average annual job openings in the region, approximately 17,538 openings belong to occupations related to programs offered by CHC. None of the 17,538 openings have a typical entry level education of less than </w:t>
      </w:r>
      <w:r w:rsidR="005E1191">
        <w:rPr>
          <w:rFonts w:asciiTheme="minorHAnsi" w:hAnsiTheme="minorHAnsi"/>
        </w:rPr>
        <w:t xml:space="preserve">a </w:t>
      </w:r>
      <w:r w:rsidR="00A465D8" w:rsidRPr="00A465D8">
        <w:rPr>
          <w:rFonts w:asciiTheme="minorHAnsi" w:hAnsiTheme="minorHAnsi"/>
        </w:rPr>
        <w:t>high school</w:t>
      </w:r>
      <w:r w:rsidR="005E1191">
        <w:rPr>
          <w:rFonts w:asciiTheme="minorHAnsi" w:hAnsiTheme="minorHAnsi"/>
        </w:rPr>
        <w:t xml:space="preserve"> degree/equivalent</w:t>
      </w:r>
      <w:r w:rsidR="00A465D8" w:rsidRPr="00A465D8">
        <w:rPr>
          <w:rFonts w:asciiTheme="minorHAnsi" w:hAnsiTheme="minorHAnsi"/>
        </w:rPr>
        <w:t xml:space="preserve">. </w:t>
      </w:r>
      <w:r w:rsidR="00694BCD">
        <w:rPr>
          <w:rFonts w:asciiTheme="minorHAnsi" w:hAnsiTheme="minorHAnsi"/>
        </w:rPr>
        <w:t xml:space="preserve">Approximately </w:t>
      </w:r>
      <w:r w:rsidR="00A465D8" w:rsidRPr="00A465D8">
        <w:rPr>
          <w:rFonts w:asciiTheme="minorHAnsi" w:hAnsiTheme="minorHAnsi"/>
        </w:rPr>
        <w:t>7,013</w:t>
      </w:r>
      <w:r w:rsidR="00694BCD">
        <w:rPr>
          <w:rFonts w:asciiTheme="minorHAnsi" w:hAnsiTheme="minorHAnsi"/>
        </w:rPr>
        <w:t xml:space="preserve"> jobs</w:t>
      </w:r>
      <w:r w:rsidR="00A465D8" w:rsidRPr="00A465D8">
        <w:rPr>
          <w:rFonts w:asciiTheme="minorHAnsi" w:hAnsiTheme="minorHAnsi"/>
        </w:rPr>
        <w:t xml:space="preserve"> (39.99%) have a typical entry level education of a high school diploma or equivalent, 549 (3.13%) have a typical entry level education of some college, 1,319 (7.52%) have a typical entry level education of a postsecondary non-degree award, 1,592 (9.08%) have a typical entry level education of an Associate’s degree, 5,715 (32.59%) have a typical entry level education of a Bachelor’s degree, 641 (3.66%) have a typical entry level education of a Master’s degree and 710 (4.05%) have a typical entry level education of a Doctoral or professional degree. </w:t>
      </w:r>
    </w:p>
    <w:p w:rsidR="00A465D8" w:rsidRPr="00A465D8" w:rsidRDefault="00A465D8" w:rsidP="00A465D8">
      <w:pPr>
        <w:contextualSpacing/>
        <w:rPr>
          <w:rFonts w:asciiTheme="minorHAnsi" w:hAnsiTheme="minorHAnsi"/>
        </w:rPr>
      </w:pPr>
    </w:p>
    <w:p w:rsidR="00A465D8" w:rsidRPr="00A465D8" w:rsidRDefault="00A465D8" w:rsidP="0010631B">
      <w:pPr>
        <w:contextualSpacing/>
        <w:jc w:val="center"/>
        <w:rPr>
          <w:rFonts w:asciiTheme="minorHAnsi" w:hAnsiTheme="minorHAnsi"/>
          <w:b/>
          <w:color w:val="008000"/>
        </w:rPr>
      </w:pPr>
      <w:r w:rsidRPr="00A465D8">
        <w:rPr>
          <w:rFonts w:asciiTheme="minorHAnsi" w:hAnsiTheme="minorHAnsi"/>
          <w:b/>
          <w:color w:val="008000"/>
        </w:rPr>
        <w:lastRenderedPageBreak/>
        <w:t xml:space="preserve">Exhibit 4.XX </w:t>
      </w:r>
      <w:r w:rsidRPr="00512575">
        <w:rPr>
          <w:rFonts w:asciiTheme="minorHAnsi" w:hAnsiTheme="minorHAnsi"/>
          <w:b/>
          <w:color w:val="008000"/>
        </w:rPr>
        <w:t>Regional</w:t>
      </w:r>
      <w:r w:rsidRPr="00A465D8">
        <w:rPr>
          <w:rFonts w:asciiTheme="minorHAnsi" w:hAnsiTheme="minorHAnsi"/>
          <w:b/>
          <w:color w:val="008000"/>
        </w:rPr>
        <w:t xml:space="preserve"> Average Annual Job Openings Related to Offered Programs by Entry Level Education (2015 – 2025)</w:t>
      </w: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noProof/>
          <w:color w:val="008000"/>
        </w:rPr>
        <w:drawing>
          <wp:inline distT="0" distB="0" distL="0" distR="0">
            <wp:extent cx="5238750" cy="2028825"/>
            <wp:effectExtent l="0" t="0" r="0" b="0"/>
            <wp:docPr id="26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65D8" w:rsidRPr="0010631B" w:rsidRDefault="00A465D8" w:rsidP="0010631B">
      <w:pPr>
        <w:ind w:left="720"/>
        <w:contextualSpacing/>
        <w:rPr>
          <w:rFonts w:asciiTheme="minorHAnsi" w:hAnsiTheme="minorHAnsi"/>
          <w:i/>
          <w:sz w:val="20"/>
          <w:szCs w:val="20"/>
        </w:rPr>
      </w:pPr>
      <w:r w:rsidRPr="0010631B">
        <w:rPr>
          <w:rFonts w:asciiTheme="minorHAnsi" w:hAnsiTheme="minorHAnsi"/>
          <w:i/>
          <w:sz w:val="20"/>
          <w:szCs w:val="20"/>
        </w:rPr>
        <w:t>Source: EMSI</w:t>
      </w:r>
    </w:p>
    <w:p w:rsidR="00A465D8" w:rsidRPr="00A465D8" w:rsidRDefault="00A465D8" w:rsidP="00A465D8">
      <w:pPr>
        <w:contextualSpacing/>
        <w:rPr>
          <w:rFonts w:asciiTheme="minorHAnsi" w:hAnsiTheme="minorHAnsi"/>
        </w:rPr>
      </w:pPr>
    </w:p>
    <w:p w:rsidR="00A465D8" w:rsidRPr="00A465D8" w:rsidRDefault="00A465D8" w:rsidP="00A465D8">
      <w:pPr>
        <w:contextualSpacing/>
        <w:rPr>
          <w:rFonts w:asciiTheme="minorHAnsi" w:hAnsiTheme="minorHAnsi"/>
        </w:rPr>
      </w:pPr>
      <w:r w:rsidRPr="00A465D8">
        <w:rPr>
          <w:rFonts w:asciiTheme="minorHAnsi" w:hAnsiTheme="minorHAnsi"/>
        </w:rPr>
        <w:t xml:space="preserve">The programs with the highest number of related average annual job openings in the region were the following: Business Administration (34.74% or 6,093 openings), Biology (14.46% or 2,536 openings), Child Development and Education (14.42% or 2,529 openings), Accounting (10.65% or 1,869 openings) and Communication Studies (6.75% or 1,185 openings). </w:t>
      </w:r>
    </w:p>
    <w:p w:rsidR="00A465D8" w:rsidRPr="00A465D8" w:rsidRDefault="00A465D8" w:rsidP="00A465D8">
      <w:pPr>
        <w:contextualSpacing/>
        <w:rPr>
          <w:rFonts w:asciiTheme="minorHAnsi" w:hAnsiTheme="minorHAnsi"/>
        </w:rPr>
      </w:pP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color w:val="008000"/>
        </w:rPr>
        <w:t>Exhibit 4.XX Regional Average Annual Job Openings by Program (2015 – 2025)</w:t>
      </w:r>
    </w:p>
    <w:tbl>
      <w:tblPr>
        <w:tblW w:w="6710" w:type="dxa"/>
        <w:jc w:val="center"/>
        <w:tblInd w:w="103" w:type="dxa"/>
        <w:tblLook w:val="04A0" w:firstRow="1" w:lastRow="0" w:firstColumn="1" w:lastColumn="0" w:noHBand="0" w:noVBand="1"/>
      </w:tblPr>
      <w:tblGrid>
        <w:gridCol w:w="3440"/>
        <w:gridCol w:w="1091"/>
        <w:gridCol w:w="829"/>
        <w:gridCol w:w="1350"/>
      </w:tblGrid>
      <w:tr w:rsidR="00A465D8" w:rsidRPr="00A465D8" w:rsidTr="00694BCD">
        <w:trPr>
          <w:trHeight w:val="378"/>
          <w:jc w:val="center"/>
        </w:trPr>
        <w:tc>
          <w:tcPr>
            <w:tcW w:w="3440" w:type="dxa"/>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Program</w:t>
            </w:r>
          </w:p>
        </w:tc>
        <w:tc>
          <w:tcPr>
            <w:tcW w:w="1920" w:type="dxa"/>
            <w:gridSpan w:val="2"/>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Annual Openings</w:t>
            </w:r>
          </w:p>
        </w:tc>
        <w:tc>
          <w:tcPr>
            <w:tcW w:w="1350" w:type="dxa"/>
            <w:shd w:val="clear" w:color="auto" w:fill="525252" w:themeFill="accent3" w:themeFillShade="80"/>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Avg. Hourly Wage</w:t>
            </w:r>
          </w:p>
        </w:tc>
      </w:tr>
      <w:tr w:rsidR="00A465D8" w:rsidRPr="00A465D8" w:rsidTr="00694BCD">
        <w:trPr>
          <w:trHeight w:val="80"/>
          <w:jc w:val="center"/>
        </w:trPr>
        <w:tc>
          <w:tcPr>
            <w:tcW w:w="3440" w:type="dxa"/>
            <w:tcBorders>
              <w:top w:val="nil"/>
            </w:tcBorders>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 </w:t>
            </w:r>
          </w:p>
        </w:tc>
        <w:tc>
          <w:tcPr>
            <w:tcW w:w="1091" w:type="dxa"/>
            <w:tcBorders>
              <w:top w:val="nil"/>
            </w:tcBorders>
            <w:shd w:val="clear" w:color="auto" w:fill="525252" w:themeFill="accent3" w:themeFillShade="80"/>
            <w:noWrap/>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829" w:type="dxa"/>
            <w:tcBorders>
              <w:top w:val="nil"/>
            </w:tcBorders>
            <w:shd w:val="clear" w:color="auto" w:fill="525252" w:themeFill="accent3" w:themeFillShade="80"/>
            <w:noWrap/>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1350" w:type="dxa"/>
            <w:tcBorders>
              <w:top w:val="nil"/>
            </w:tcBorders>
            <w:shd w:val="clear" w:color="auto" w:fill="525252" w:themeFill="accent3" w:themeFillShade="80"/>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 </w:t>
            </w:r>
          </w:p>
        </w:tc>
      </w:tr>
      <w:tr w:rsidR="00A465D8" w:rsidRPr="00A465D8" w:rsidTr="00A465D8">
        <w:trPr>
          <w:trHeight w:val="300"/>
          <w:jc w:val="center"/>
        </w:trPr>
        <w:tc>
          <w:tcPr>
            <w:tcW w:w="3440"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Business Administration</w:t>
            </w:r>
          </w:p>
        </w:tc>
        <w:tc>
          <w:tcPr>
            <w:tcW w:w="1091"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34.74%</w:t>
            </w:r>
          </w:p>
        </w:tc>
        <w:tc>
          <w:tcPr>
            <w:tcW w:w="829"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6,093</w:t>
            </w:r>
          </w:p>
        </w:tc>
        <w:tc>
          <w:tcPr>
            <w:tcW w:w="1350"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$33.23</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Biology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14.46%</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2,536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$50.83</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Child Development &amp; Education</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14.42%</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2,529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$29.14</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Accounting</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10.65%</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1,869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$28.42</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Communication Studies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6.75%</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1,185</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$26.99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Psychology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4.89%</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857</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$31.39</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Comp. Info. Tech./Comp. Science</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3.31%</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580</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$39.94</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Kinesiology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1.58%</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277</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$23.67</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Engineering</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1.25%</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220</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$39.39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Emergency Medical Services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1.20%</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211</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$24.05</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Chemistry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1.16%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203</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$33.90</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History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0.87%</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153</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$20.55</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Fire Technology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0.86%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152</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$37.47</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0.67%</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118</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$34.58</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Art</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0.55%</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96</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$25.60</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Philosophy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0.52%</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92</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$66.33</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Radiologic Technology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0.34%</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$30.39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Geography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0.26%</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$27.94</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Respiratory Care</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45</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$30.65</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Mathematics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0.25%</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43</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$32.07</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lastRenderedPageBreak/>
              <w:t>Religious Studies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0.22%</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$24.11</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Theatre Arts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0.22%</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38</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$27.58</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Modern Languages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0.15%</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$20.28</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English</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0.12%</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21</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$28.79</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Music</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0.09%</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16</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$25.99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Economics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0.05%</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$34.11</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Sociology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0.05%</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$27.81</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Physics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0.05%</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$47.06</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Dance</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0.02%</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$22.09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Anthropology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0.02%</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$25.92</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Political Science</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$32.08</w:t>
            </w:r>
          </w:p>
        </w:tc>
      </w:tr>
    </w:tbl>
    <w:p w:rsidR="00A465D8" w:rsidRPr="00694BCD" w:rsidRDefault="00A465D8" w:rsidP="00694BCD">
      <w:pPr>
        <w:ind w:left="1350"/>
        <w:contextualSpacing/>
        <w:rPr>
          <w:rFonts w:asciiTheme="minorHAnsi" w:hAnsiTheme="minorHAnsi"/>
          <w:i/>
          <w:sz w:val="20"/>
          <w:szCs w:val="20"/>
        </w:rPr>
      </w:pPr>
      <w:r w:rsidRPr="00694BCD">
        <w:rPr>
          <w:rFonts w:asciiTheme="minorHAnsi" w:hAnsiTheme="minorHAnsi"/>
          <w:i/>
          <w:sz w:val="20"/>
          <w:szCs w:val="20"/>
        </w:rPr>
        <w:t>Source: EMSI</w:t>
      </w:r>
    </w:p>
    <w:p w:rsidR="000A65F1" w:rsidRDefault="000A65F1" w:rsidP="00694BCD">
      <w:pPr>
        <w:contextualSpacing/>
        <w:jc w:val="both"/>
        <w:rPr>
          <w:rFonts w:asciiTheme="minorHAnsi" w:hAnsiTheme="minorHAnsi"/>
        </w:rPr>
      </w:pPr>
    </w:p>
    <w:p w:rsidR="00A465D8" w:rsidRPr="00A465D8" w:rsidRDefault="00694BCD" w:rsidP="00694BCD">
      <w:pPr>
        <w:contextualSpacing/>
        <w:jc w:val="both"/>
        <w:rPr>
          <w:rFonts w:asciiTheme="minorHAnsi" w:hAnsiTheme="minorHAnsi"/>
        </w:rPr>
      </w:pPr>
      <w:r>
        <w:rPr>
          <w:rFonts w:asciiTheme="minorHAnsi" w:hAnsiTheme="minorHAnsi"/>
        </w:rPr>
        <w:t xml:space="preserve">Between 2015 and 2025, </w:t>
      </w:r>
      <w:r w:rsidR="00A465D8" w:rsidRPr="00A465D8">
        <w:rPr>
          <w:rFonts w:asciiTheme="minorHAnsi" w:hAnsiTheme="minorHAnsi"/>
        </w:rPr>
        <w:t xml:space="preserve">regional job openings </w:t>
      </w:r>
      <w:r>
        <w:rPr>
          <w:rFonts w:asciiTheme="minorHAnsi" w:hAnsiTheme="minorHAnsi"/>
        </w:rPr>
        <w:t>with</w:t>
      </w:r>
      <w:r w:rsidR="00A465D8" w:rsidRPr="00A465D8">
        <w:rPr>
          <w:rFonts w:asciiTheme="minorHAnsi" w:hAnsiTheme="minorHAnsi"/>
        </w:rPr>
        <w:t xml:space="preserve"> a typical entry level education of at least a postsecondary non-degree award or higher are expected to primarily relate to the following programs: Biology (23.86% or 2,511 openings), Child Development and Education (21.19% or 2,230 openings), Business Administration (18.71% or 1,969 openings), Accounting (7.65% or 805 openings) and Psychology (5.9% or 621 openings). </w:t>
      </w:r>
    </w:p>
    <w:p w:rsidR="00A465D8" w:rsidRPr="00A465D8" w:rsidRDefault="00A465D8" w:rsidP="00A465D8">
      <w:pPr>
        <w:contextualSpacing/>
        <w:rPr>
          <w:rFonts w:asciiTheme="minorHAnsi" w:hAnsiTheme="minorHAnsi"/>
        </w:rPr>
      </w:pPr>
    </w:p>
    <w:p w:rsidR="00A465D8" w:rsidRPr="00A465D8" w:rsidRDefault="00A465D8" w:rsidP="00A465D8">
      <w:pPr>
        <w:contextualSpacing/>
        <w:jc w:val="center"/>
        <w:rPr>
          <w:rFonts w:asciiTheme="minorHAnsi" w:hAnsiTheme="minorHAnsi"/>
          <w:b/>
          <w:color w:val="008000"/>
        </w:rPr>
      </w:pPr>
      <w:r w:rsidRPr="00A465D8">
        <w:rPr>
          <w:rFonts w:asciiTheme="minorHAnsi" w:hAnsiTheme="minorHAnsi"/>
          <w:b/>
          <w:color w:val="008000"/>
        </w:rPr>
        <w:t>Exhibit 4.XX Regional Average Annual Job Openings by Program, Postsecondary Non-Degree Award or Higher (2015 – 2025)</w:t>
      </w:r>
    </w:p>
    <w:tbl>
      <w:tblPr>
        <w:tblW w:w="6710" w:type="dxa"/>
        <w:jc w:val="center"/>
        <w:tblInd w:w="103" w:type="dxa"/>
        <w:tblLook w:val="04A0" w:firstRow="1" w:lastRow="0" w:firstColumn="1" w:lastColumn="0" w:noHBand="0" w:noVBand="1"/>
      </w:tblPr>
      <w:tblGrid>
        <w:gridCol w:w="3440"/>
        <w:gridCol w:w="1091"/>
        <w:gridCol w:w="829"/>
        <w:gridCol w:w="1350"/>
      </w:tblGrid>
      <w:tr w:rsidR="00A465D8" w:rsidRPr="00A465D8" w:rsidTr="00694BCD">
        <w:trPr>
          <w:trHeight w:val="198"/>
          <w:jc w:val="center"/>
        </w:trPr>
        <w:tc>
          <w:tcPr>
            <w:tcW w:w="3440" w:type="dxa"/>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Program</w:t>
            </w:r>
          </w:p>
        </w:tc>
        <w:tc>
          <w:tcPr>
            <w:tcW w:w="1920" w:type="dxa"/>
            <w:gridSpan w:val="2"/>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Annual Openings</w:t>
            </w:r>
          </w:p>
        </w:tc>
        <w:tc>
          <w:tcPr>
            <w:tcW w:w="1350" w:type="dxa"/>
            <w:shd w:val="clear" w:color="auto" w:fill="525252" w:themeFill="accent3" w:themeFillShade="80"/>
            <w:vAlign w:val="center"/>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Avg. Hourly Wage</w:t>
            </w:r>
          </w:p>
        </w:tc>
      </w:tr>
      <w:tr w:rsidR="00A465D8" w:rsidRPr="00A465D8" w:rsidTr="00694BCD">
        <w:trPr>
          <w:trHeight w:val="80"/>
          <w:jc w:val="center"/>
        </w:trPr>
        <w:tc>
          <w:tcPr>
            <w:tcW w:w="3440" w:type="dxa"/>
            <w:tcBorders>
              <w:top w:val="nil"/>
            </w:tcBorders>
            <w:shd w:val="clear" w:color="auto" w:fill="525252" w:themeFill="accent3" w:themeFillShade="80"/>
            <w:noWrap/>
            <w:vAlign w:val="center"/>
            <w:hideMark/>
          </w:tcPr>
          <w:p w:rsidR="00A465D8" w:rsidRPr="00A465D8" w:rsidRDefault="00A465D8" w:rsidP="00A465D8">
            <w:pPr>
              <w:spacing w:after="0" w:line="240" w:lineRule="auto"/>
              <w:jc w:val="center"/>
              <w:rPr>
                <w:rFonts w:asciiTheme="minorHAnsi" w:eastAsia="Times New Roman" w:hAnsiTheme="minorHAnsi" w:cs="Arial"/>
                <w:color w:val="FFFFFF" w:themeColor="background1"/>
              </w:rPr>
            </w:pPr>
            <w:r w:rsidRPr="00A465D8">
              <w:rPr>
                <w:rFonts w:asciiTheme="minorHAnsi" w:eastAsia="Times New Roman" w:hAnsiTheme="minorHAnsi" w:cs="Arial"/>
                <w:color w:val="FFFFFF" w:themeColor="background1"/>
              </w:rPr>
              <w:t> </w:t>
            </w:r>
          </w:p>
        </w:tc>
        <w:tc>
          <w:tcPr>
            <w:tcW w:w="1091" w:type="dxa"/>
            <w:tcBorders>
              <w:top w:val="nil"/>
            </w:tcBorders>
            <w:shd w:val="clear" w:color="auto" w:fill="525252" w:themeFill="accent3" w:themeFillShade="80"/>
            <w:noWrap/>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829" w:type="dxa"/>
            <w:tcBorders>
              <w:top w:val="nil"/>
            </w:tcBorders>
            <w:shd w:val="clear" w:color="auto" w:fill="525252" w:themeFill="accent3" w:themeFillShade="80"/>
            <w:noWrap/>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w:t>
            </w:r>
          </w:p>
        </w:tc>
        <w:tc>
          <w:tcPr>
            <w:tcW w:w="1350" w:type="dxa"/>
            <w:tcBorders>
              <w:top w:val="nil"/>
            </w:tcBorders>
            <w:shd w:val="clear" w:color="auto" w:fill="525252" w:themeFill="accent3" w:themeFillShade="80"/>
            <w:vAlign w:val="bottom"/>
            <w:hideMark/>
          </w:tcPr>
          <w:p w:rsidR="00A465D8" w:rsidRPr="00A465D8" w:rsidRDefault="00A465D8" w:rsidP="00A465D8">
            <w:pPr>
              <w:spacing w:after="0" w:line="240" w:lineRule="auto"/>
              <w:jc w:val="center"/>
              <w:rPr>
                <w:rFonts w:asciiTheme="minorHAnsi" w:eastAsia="Times New Roman" w:hAnsiTheme="minorHAnsi" w:cs="Times New Roman"/>
                <w:color w:val="FFFFFF" w:themeColor="background1"/>
              </w:rPr>
            </w:pPr>
            <w:r w:rsidRPr="00A465D8">
              <w:rPr>
                <w:rFonts w:asciiTheme="minorHAnsi" w:eastAsia="Times New Roman" w:hAnsiTheme="minorHAnsi" w:cs="Times New Roman"/>
                <w:color w:val="FFFFFF" w:themeColor="background1"/>
              </w:rPr>
              <w:t> </w:t>
            </w:r>
          </w:p>
        </w:tc>
      </w:tr>
      <w:tr w:rsidR="00A465D8" w:rsidRPr="00A465D8" w:rsidTr="00A465D8">
        <w:trPr>
          <w:trHeight w:val="300"/>
          <w:jc w:val="center"/>
        </w:trPr>
        <w:tc>
          <w:tcPr>
            <w:tcW w:w="3440"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Biology</w:t>
            </w:r>
          </w:p>
        </w:tc>
        <w:tc>
          <w:tcPr>
            <w:tcW w:w="1091"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23.86%</w:t>
            </w:r>
          </w:p>
        </w:tc>
        <w:tc>
          <w:tcPr>
            <w:tcW w:w="829"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2,511</w:t>
            </w:r>
          </w:p>
        </w:tc>
        <w:tc>
          <w:tcPr>
            <w:tcW w:w="1350" w:type="dxa"/>
            <w:tcBorders>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$52.10</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Child Development &amp; Education</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21.19%</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2,230</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$30.70</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Business Administration</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18.71%</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1,969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$42.83</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Accounting</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7.65%</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805</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$36.61</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Psychology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5.90%</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621</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$34.10</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Comp. Info. Tech./Comp. Science</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5.47%</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576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$41.23</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Engineering</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2.09%</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220</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$39.39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Kinesiology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1.99%</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$26.06</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Chemistry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1.93%</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203</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$33.90</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Emergency Medical Services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1.68%</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176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$23.83</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Fire Technology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1.42%</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150</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$38.95</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Communication Studies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1.41%</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148</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$29.74</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1.08%</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114</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$37.08</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Philosophy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0.87%</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92</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$66.33</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History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0.87%</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91</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$21.98</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Art</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0.63%</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$28.29</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Radiologic Technology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0.56%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59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$30.39</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Respiratory Care</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0.43%</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45</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$30.65</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Mathematics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0.41%</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43</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$32.07</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lastRenderedPageBreak/>
              <w:t>Religious Studies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0.37%</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$24.11</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Geography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0.36%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38</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$28.01</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Theatre Arts</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0.32%</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33</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$30.78</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Modern Languages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0.26%</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$20.28</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English</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0.20%</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21</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$28.79</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Economics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0.09%</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$34.11</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Sociology</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0.09%</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$27.81</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Physics</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0.09%</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9</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$47.06</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Music</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0.06%</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6</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$25.32</w:t>
            </w:r>
          </w:p>
        </w:tc>
      </w:tr>
      <w:tr w:rsidR="00A465D8" w:rsidRPr="00A465D8" w:rsidTr="00A465D8">
        <w:trPr>
          <w:trHeight w:val="300"/>
          <w:jc w:val="center"/>
        </w:trPr>
        <w:tc>
          <w:tcPr>
            <w:tcW w:w="344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Anthropology</w:t>
            </w:r>
          </w:p>
        </w:tc>
        <w:tc>
          <w:tcPr>
            <w:tcW w:w="1091"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0.03%</w:t>
            </w:r>
          </w:p>
        </w:tc>
        <w:tc>
          <w:tcPr>
            <w:tcW w:w="829"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4</w:t>
            </w:r>
          </w:p>
        </w:tc>
        <w:tc>
          <w:tcPr>
            <w:tcW w:w="1350" w:type="dxa"/>
            <w:tcBorders>
              <w:top w:val="nil"/>
              <w:left w:val="nil"/>
              <w:bottom w:val="nil"/>
              <w:right w:val="nil"/>
            </w:tcBorders>
            <w:shd w:val="clear" w:color="auto" w:fill="DBDBDB" w:themeFill="accent3" w:themeFillTint="66"/>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$25.92</w:t>
            </w:r>
          </w:p>
        </w:tc>
      </w:tr>
      <w:tr w:rsidR="00A465D8" w:rsidRPr="00A465D8" w:rsidTr="00A465D8">
        <w:trPr>
          <w:trHeight w:val="300"/>
          <w:jc w:val="center"/>
        </w:trPr>
        <w:tc>
          <w:tcPr>
            <w:tcW w:w="344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rPr>
                <w:rFonts w:asciiTheme="minorHAnsi" w:eastAsia="Times New Roman" w:hAnsiTheme="minorHAnsi" w:cs="Times New Roman"/>
              </w:rPr>
            </w:pPr>
            <w:r w:rsidRPr="00A465D8">
              <w:rPr>
                <w:rFonts w:asciiTheme="minorHAnsi" w:eastAsia="Times New Roman" w:hAnsiTheme="minorHAnsi" w:cs="Times New Roman"/>
              </w:rPr>
              <w:t>Political Science</w:t>
            </w:r>
          </w:p>
        </w:tc>
        <w:tc>
          <w:tcPr>
            <w:tcW w:w="1091"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w:t>
            </w:r>
          </w:p>
        </w:tc>
        <w:tc>
          <w:tcPr>
            <w:tcW w:w="829"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w:t>
            </w:r>
          </w:p>
        </w:tc>
        <w:tc>
          <w:tcPr>
            <w:tcW w:w="1350" w:type="dxa"/>
            <w:tcBorders>
              <w:top w:val="nil"/>
              <w:left w:val="nil"/>
              <w:bottom w:val="nil"/>
              <w:right w:val="nil"/>
            </w:tcBorders>
            <w:shd w:val="clear" w:color="auto" w:fill="auto"/>
            <w:noWrap/>
            <w:vAlign w:val="bottom"/>
            <w:hideMark/>
          </w:tcPr>
          <w:p w:rsidR="00A465D8" w:rsidRPr="00A465D8" w:rsidRDefault="00A465D8" w:rsidP="00A465D8">
            <w:pPr>
              <w:spacing w:after="0" w:line="240" w:lineRule="auto"/>
              <w:jc w:val="right"/>
              <w:rPr>
                <w:rFonts w:asciiTheme="minorHAnsi" w:eastAsia="Times New Roman" w:hAnsiTheme="minorHAnsi" w:cs="Times New Roman"/>
              </w:rPr>
            </w:pPr>
            <w:r w:rsidRPr="00A465D8">
              <w:rPr>
                <w:rFonts w:asciiTheme="minorHAnsi" w:eastAsia="Times New Roman" w:hAnsiTheme="minorHAnsi" w:cs="Times New Roman"/>
              </w:rPr>
              <w:t>$32.08</w:t>
            </w:r>
          </w:p>
        </w:tc>
      </w:tr>
    </w:tbl>
    <w:p w:rsidR="00A465D8" w:rsidRPr="00694BCD" w:rsidRDefault="00A465D8" w:rsidP="00694BCD">
      <w:pPr>
        <w:ind w:left="1350"/>
        <w:contextualSpacing/>
        <w:rPr>
          <w:rFonts w:asciiTheme="minorHAnsi" w:hAnsiTheme="minorHAnsi"/>
          <w:i/>
          <w:sz w:val="20"/>
          <w:szCs w:val="20"/>
        </w:rPr>
      </w:pPr>
      <w:r w:rsidRPr="00694BCD">
        <w:rPr>
          <w:rFonts w:asciiTheme="minorHAnsi" w:hAnsiTheme="minorHAnsi"/>
          <w:i/>
          <w:sz w:val="20"/>
          <w:szCs w:val="20"/>
        </w:rPr>
        <w:t>Source: EMSI</w:t>
      </w:r>
    </w:p>
    <w:p w:rsidR="00487664" w:rsidRDefault="00487664" w:rsidP="00A465D8">
      <w:pPr>
        <w:contextualSpacing/>
        <w:rPr>
          <w:rFonts w:asciiTheme="minorHAnsi" w:hAnsiTheme="minorHAnsi"/>
          <w:b/>
          <w:color w:val="008000"/>
        </w:rPr>
      </w:pPr>
    </w:p>
    <w:p w:rsidR="00A465D8" w:rsidRPr="00A465D8" w:rsidRDefault="00A465D8" w:rsidP="00A465D8">
      <w:pPr>
        <w:contextualSpacing/>
        <w:rPr>
          <w:rFonts w:asciiTheme="minorHAnsi" w:hAnsiTheme="minorHAnsi"/>
          <w:color w:val="008000"/>
        </w:rPr>
      </w:pPr>
      <w:r w:rsidRPr="00A465D8">
        <w:rPr>
          <w:rFonts w:asciiTheme="minorHAnsi" w:hAnsiTheme="minorHAnsi"/>
          <w:b/>
          <w:color w:val="008000"/>
        </w:rPr>
        <w:t>Labor Market Information Findings</w:t>
      </w:r>
    </w:p>
    <w:p w:rsidR="00A465D8" w:rsidRPr="00A465D8" w:rsidRDefault="00A465D8" w:rsidP="00A465D8">
      <w:pPr>
        <w:contextualSpacing/>
        <w:rPr>
          <w:rFonts w:asciiTheme="minorHAnsi" w:hAnsiTheme="minorHAnsi"/>
        </w:rPr>
      </w:pPr>
      <w:r w:rsidRPr="00A465D8">
        <w:rPr>
          <w:rFonts w:asciiTheme="minorHAnsi" w:hAnsiTheme="minorHAnsi"/>
        </w:rPr>
        <w:t>Analysis of data regarding the labor market in the service area and region provides insight for making informed planning decisions. The following findings are derived from the labor market information prese</w:t>
      </w:r>
      <w:r w:rsidR="00A75970">
        <w:rPr>
          <w:rFonts w:asciiTheme="minorHAnsi" w:hAnsiTheme="minorHAnsi"/>
        </w:rPr>
        <w:t>nted in this chapter of the EMP:</w:t>
      </w:r>
    </w:p>
    <w:p w:rsidR="00A465D8" w:rsidRPr="00A465D8" w:rsidRDefault="00A465D8" w:rsidP="00A465D8">
      <w:pPr>
        <w:contextualSpacing/>
        <w:rPr>
          <w:rFonts w:asciiTheme="minorHAnsi" w:hAnsiTheme="minorHAnsi"/>
        </w:rPr>
      </w:pPr>
    </w:p>
    <w:p w:rsidR="00A465D8" w:rsidRPr="00A465D8" w:rsidRDefault="00A465D8" w:rsidP="00694BCD">
      <w:pPr>
        <w:spacing w:after="0" w:line="240" w:lineRule="auto"/>
        <w:contextualSpacing/>
        <w:rPr>
          <w:rFonts w:asciiTheme="minorHAnsi" w:hAnsiTheme="minorHAnsi"/>
        </w:rPr>
      </w:pPr>
      <w:r w:rsidRPr="00A465D8">
        <w:rPr>
          <w:rFonts w:asciiTheme="minorHAnsi" w:hAnsiTheme="minorHAnsi"/>
          <w:i/>
        </w:rPr>
        <w:t>Labor Force, Employment and Unemployment</w:t>
      </w:r>
    </w:p>
    <w:p w:rsidR="00A465D8" w:rsidRPr="00A465D8" w:rsidRDefault="00A465D8" w:rsidP="00A465D8">
      <w:pPr>
        <w:pStyle w:val="ListParagraph"/>
        <w:numPr>
          <w:ilvl w:val="0"/>
          <w:numId w:val="63"/>
        </w:numPr>
        <w:spacing w:after="200" w:line="276" w:lineRule="auto"/>
        <w:rPr>
          <w:rFonts w:asciiTheme="minorHAnsi" w:hAnsiTheme="minorHAnsi"/>
        </w:rPr>
      </w:pPr>
      <w:r w:rsidRPr="00A465D8">
        <w:rPr>
          <w:rFonts w:asciiTheme="minorHAnsi" w:hAnsiTheme="minorHAnsi"/>
        </w:rPr>
        <w:t>The labor force in 2015 was:</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487,800 in the service area</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1,961,800 in the region</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 xml:space="preserve">18,981,800 in the </w:t>
      </w:r>
      <w:r w:rsidR="00FB6DA3">
        <w:rPr>
          <w:rFonts w:asciiTheme="minorHAnsi" w:hAnsiTheme="minorHAnsi"/>
        </w:rPr>
        <w:t>State</w:t>
      </w:r>
    </w:p>
    <w:p w:rsidR="00A465D8" w:rsidRPr="00A465D8" w:rsidRDefault="00A465D8" w:rsidP="00A465D8">
      <w:pPr>
        <w:pStyle w:val="ListParagraph"/>
        <w:ind w:left="1440"/>
        <w:rPr>
          <w:rFonts w:asciiTheme="minorHAnsi" w:hAnsiTheme="minorHAnsi"/>
        </w:rPr>
      </w:pPr>
    </w:p>
    <w:p w:rsidR="00A465D8" w:rsidRPr="00A465D8" w:rsidRDefault="00A465D8" w:rsidP="00A465D8">
      <w:pPr>
        <w:pStyle w:val="ListParagraph"/>
        <w:numPr>
          <w:ilvl w:val="0"/>
          <w:numId w:val="63"/>
        </w:numPr>
        <w:spacing w:after="200" w:line="276" w:lineRule="auto"/>
        <w:rPr>
          <w:rFonts w:asciiTheme="minorHAnsi" w:hAnsiTheme="minorHAnsi"/>
        </w:rPr>
      </w:pPr>
      <w:r w:rsidRPr="00A465D8">
        <w:rPr>
          <w:rFonts w:asciiTheme="minorHAnsi" w:hAnsiTheme="minorHAnsi"/>
        </w:rPr>
        <w:t>The number of employed persons in 2015 was:</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455,600 in the service area</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1,832,300 in the region</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 xml:space="preserve">17,798,600 in the </w:t>
      </w:r>
      <w:r w:rsidR="00FB6DA3">
        <w:rPr>
          <w:rFonts w:asciiTheme="minorHAnsi" w:hAnsiTheme="minorHAnsi"/>
        </w:rPr>
        <w:t>State</w:t>
      </w:r>
    </w:p>
    <w:p w:rsidR="00A465D8" w:rsidRPr="00A465D8" w:rsidRDefault="00A465D8" w:rsidP="00A465D8">
      <w:pPr>
        <w:pStyle w:val="ListParagraph"/>
        <w:ind w:left="1440"/>
        <w:rPr>
          <w:rFonts w:asciiTheme="minorHAnsi" w:hAnsiTheme="minorHAnsi"/>
        </w:rPr>
      </w:pPr>
    </w:p>
    <w:p w:rsidR="00A465D8" w:rsidRPr="00A465D8" w:rsidRDefault="00A465D8" w:rsidP="00A465D8">
      <w:pPr>
        <w:pStyle w:val="ListParagraph"/>
        <w:numPr>
          <w:ilvl w:val="0"/>
          <w:numId w:val="63"/>
        </w:numPr>
        <w:spacing w:after="200" w:line="276" w:lineRule="auto"/>
        <w:rPr>
          <w:rFonts w:asciiTheme="minorHAnsi" w:hAnsiTheme="minorHAnsi"/>
        </w:rPr>
      </w:pPr>
      <w:r w:rsidRPr="00A465D8">
        <w:rPr>
          <w:rFonts w:asciiTheme="minorHAnsi" w:hAnsiTheme="minorHAnsi"/>
        </w:rPr>
        <w:t>The unemployment rate for 2015 was:</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6.66% in the service area</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6.6% in the region</w:t>
      </w:r>
    </w:p>
    <w:p w:rsidR="00A465D8" w:rsidRPr="00A465D8" w:rsidRDefault="00A465D8" w:rsidP="00A465D8">
      <w:pPr>
        <w:pStyle w:val="ListParagraph"/>
        <w:numPr>
          <w:ilvl w:val="1"/>
          <w:numId w:val="63"/>
        </w:numPr>
        <w:spacing w:after="200" w:line="276" w:lineRule="auto"/>
        <w:rPr>
          <w:rFonts w:asciiTheme="minorHAnsi" w:hAnsiTheme="minorHAnsi"/>
        </w:rPr>
      </w:pPr>
      <w:r w:rsidRPr="00A465D8">
        <w:rPr>
          <w:rFonts w:asciiTheme="minorHAnsi" w:hAnsiTheme="minorHAnsi"/>
        </w:rPr>
        <w:t xml:space="preserve">6.2% in the </w:t>
      </w:r>
      <w:r w:rsidR="00FB6DA3">
        <w:rPr>
          <w:rFonts w:asciiTheme="minorHAnsi" w:hAnsiTheme="minorHAnsi"/>
        </w:rPr>
        <w:t>State</w:t>
      </w:r>
    </w:p>
    <w:p w:rsidR="00A465D8" w:rsidRPr="00A465D8" w:rsidRDefault="00A465D8" w:rsidP="00694BCD">
      <w:pPr>
        <w:spacing w:after="0" w:line="240" w:lineRule="auto"/>
        <w:rPr>
          <w:rFonts w:asciiTheme="minorHAnsi" w:hAnsiTheme="minorHAnsi"/>
        </w:rPr>
      </w:pPr>
      <w:r w:rsidRPr="00A465D8">
        <w:rPr>
          <w:rFonts w:asciiTheme="minorHAnsi" w:hAnsiTheme="minorHAnsi"/>
          <w:i/>
        </w:rPr>
        <w:t>Industry Estimates and Projections</w:t>
      </w:r>
    </w:p>
    <w:p w:rsidR="00A465D8" w:rsidRPr="00A465D8" w:rsidRDefault="00095B19" w:rsidP="00A465D8">
      <w:pPr>
        <w:pStyle w:val="ListParagraph"/>
        <w:numPr>
          <w:ilvl w:val="0"/>
          <w:numId w:val="64"/>
        </w:numPr>
        <w:spacing w:after="200" w:line="276" w:lineRule="auto"/>
        <w:rPr>
          <w:rFonts w:asciiTheme="minorHAnsi" w:hAnsiTheme="minorHAnsi"/>
        </w:rPr>
      </w:pPr>
      <w:r>
        <w:rPr>
          <w:rFonts w:asciiTheme="minorHAnsi" w:hAnsiTheme="minorHAnsi"/>
        </w:rPr>
        <w:t>In 2015, the top five</w:t>
      </w:r>
      <w:r w:rsidR="00A465D8" w:rsidRPr="00A465D8">
        <w:rPr>
          <w:rFonts w:asciiTheme="minorHAnsi" w:hAnsiTheme="minorHAnsi"/>
        </w:rPr>
        <w:t xml:space="preserve"> industries in the service area in terms of people employed were:</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Health Care and Social Assistance (</w:t>
      </w:r>
      <w:r w:rsidR="00DB068D">
        <w:rPr>
          <w:rFonts w:asciiTheme="minorHAnsi" w:hAnsiTheme="minorHAnsi"/>
        </w:rPr>
        <w:t xml:space="preserve">47,528 jobs) – </w:t>
      </w:r>
      <w:r w:rsidRPr="00A465D8">
        <w:rPr>
          <w:rFonts w:asciiTheme="minorHAnsi" w:hAnsiTheme="minorHAnsi"/>
        </w:rPr>
        <w:t xml:space="preserve">46.44% </w:t>
      </w:r>
      <w:r w:rsidR="00DB068D">
        <w:rPr>
          <w:rFonts w:asciiTheme="minorHAnsi" w:hAnsiTheme="minorHAnsi"/>
        </w:rPr>
        <w:t xml:space="preserve">growth </w:t>
      </w:r>
      <w:r w:rsidRPr="00A465D8">
        <w:rPr>
          <w:rFonts w:asciiTheme="minorHAnsi" w:hAnsiTheme="minorHAnsi"/>
        </w:rPr>
        <w:t>from 2010</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 xml:space="preserve">Government (35,679 jobs) –0.45% </w:t>
      </w:r>
      <w:r w:rsidR="00DB068D">
        <w:rPr>
          <w:rFonts w:asciiTheme="minorHAnsi" w:hAnsiTheme="minorHAnsi"/>
        </w:rPr>
        <w:t xml:space="preserve">growth </w:t>
      </w:r>
      <w:r w:rsidRPr="00A465D8">
        <w:rPr>
          <w:rFonts w:asciiTheme="minorHAnsi" w:hAnsiTheme="minorHAnsi"/>
        </w:rPr>
        <w:t>from 2010</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 xml:space="preserve">Retail Trade (32,193 jobs) –10.95% </w:t>
      </w:r>
      <w:r w:rsidR="00DB068D">
        <w:rPr>
          <w:rFonts w:asciiTheme="minorHAnsi" w:hAnsiTheme="minorHAnsi"/>
        </w:rPr>
        <w:t xml:space="preserve">growth </w:t>
      </w:r>
      <w:r w:rsidRPr="00A465D8">
        <w:rPr>
          <w:rFonts w:asciiTheme="minorHAnsi" w:hAnsiTheme="minorHAnsi"/>
        </w:rPr>
        <w:t>from 2010</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Accommodation and Food Services (9.16% or 21,564 jobs) –</w:t>
      </w:r>
      <w:r w:rsidR="00DB068D" w:rsidRPr="00DB068D">
        <w:rPr>
          <w:rFonts w:asciiTheme="minorHAnsi" w:hAnsiTheme="minorHAnsi"/>
        </w:rPr>
        <w:t xml:space="preserve"> </w:t>
      </w:r>
      <w:r w:rsidR="00DB068D">
        <w:rPr>
          <w:rFonts w:asciiTheme="minorHAnsi" w:hAnsiTheme="minorHAnsi"/>
        </w:rPr>
        <w:t xml:space="preserve">growth </w:t>
      </w:r>
      <w:r w:rsidRPr="00A465D8">
        <w:rPr>
          <w:rFonts w:asciiTheme="minorHAnsi" w:hAnsiTheme="minorHAnsi"/>
        </w:rPr>
        <w:t>22.16% from 2010</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Transportation and Warehousing (17,659 jobs) –</w:t>
      </w:r>
      <w:r w:rsidR="00DB068D" w:rsidRPr="00DB068D">
        <w:rPr>
          <w:rFonts w:asciiTheme="minorHAnsi" w:hAnsiTheme="minorHAnsi"/>
        </w:rPr>
        <w:t xml:space="preserve"> </w:t>
      </w:r>
      <w:r w:rsidR="00DB068D">
        <w:rPr>
          <w:rFonts w:asciiTheme="minorHAnsi" w:hAnsiTheme="minorHAnsi"/>
        </w:rPr>
        <w:t xml:space="preserve">growth </w:t>
      </w:r>
      <w:r w:rsidRPr="00A465D8">
        <w:rPr>
          <w:rFonts w:asciiTheme="minorHAnsi" w:hAnsiTheme="minorHAnsi"/>
        </w:rPr>
        <w:t>45.35% from 2010</w:t>
      </w:r>
    </w:p>
    <w:p w:rsidR="00A465D8" w:rsidRPr="00A465D8" w:rsidRDefault="00A465D8" w:rsidP="00A465D8">
      <w:pPr>
        <w:pStyle w:val="ListParagraph"/>
        <w:ind w:left="1440"/>
        <w:rPr>
          <w:rFonts w:asciiTheme="minorHAnsi" w:hAnsiTheme="minorHAnsi"/>
        </w:rPr>
      </w:pPr>
    </w:p>
    <w:p w:rsidR="00A465D8" w:rsidRPr="00A465D8" w:rsidRDefault="00095B19" w:rsidP="00A465D8">
      <w:pPr>
        <w:pStyle w:val="ListParagraph"/>
        <w:numPr>
          <w:ilvl w:val="0"/>
          <w:numId w:val="64"/>
        </w:numPr>
        <w:spacing w:after="200" w:line="276" w:lineRule="auto"/>
        <w:rPr>
          <w:rFonts w:asciiTheme="minorHAnsi" w:hAnsiTheme="minorHAnsi"/>
        </w:rPr>
      </w:pPr>
      <w:r>
        <w:rPr>
          <w:rFonts w:asciiTheme="minorHAnsi" w:hAnsiTheme="minorHAnsi"/>
        </w:rPr>
        <w:lastRenderedPageBreak/>
        <w:t>By 2025, the top five</w:t>
      </w:r>
      <w:r w:rsidR="00A465D8" w:rsidRPr="00A465D8">
        <w:rPr>
          <w:rFonts w:asciiTheme="minorHAnsi" w:hAnsiTheme="minorHAnsi"/>
        </w:rPr>
        <w:t xml:space="preserve"> industries in the service area in terms of people employed are projected to be:</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Health Care and Social Assistance (62,111 jobs) – 30.68%</w:t>
      </w:r>
      <w:r w:rsidR="00DB068D">
        <w:rPr>
          <w:rFonts w:asciiTheme="minorHAnsi" w:hAnsiTheme="minorHAnsi"/>
        </w:rPr>
        <w:t xml:space="preserve"> growth</w:t>
      </w:r>
      <w:r w:rsidRPr="00A465D8">
        <w:rPr>
          <w:rFonts w:asciiTheme="minorHAnsi" w:hAnsiTheme="minorHAnsi"/>
        </w:rPr>
        <w:t xml:space="preserve"> from 2015</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Retail Trade (38,455 jobs) –</w:t>
      </w:r>
      <w:r w:rsidR="00DB068D">
        <w:rPr>
          <w:rFonts w:asciiTheme="minorHAnsi" w:hAnsiTheme="minorHAnsi"/>
        </w:rPr>
        <w:t xml:space="preserve"> </w:t>
      </w:r>
      <w:r w:rsidRPr="00A465D8">
        <w:rPr>
          <w:rFonts w:asciiTheme="minorHAnsi" w:hAnsiTheme="minorHAnsi"/>
        </w:rPr>
        <w:t>19.45%</w:t>
      </w:r>
      <w:r w:rsidR="00DB068D">
        <w:rPr>
          <w:rFonts w:asciiTheme="minorHAnsi" w:hAnsiTheme="minorHAnsi"/>
        </w:rPr>
        <w:t xml:space="preserve"> growth</w:t>
      </w:r>
      <w:r w:rsidRPr="00A465D8">
        <w:rPr>
          <w:rFonts w:asciiTheme="minorHAnsi" w:hAnsiTheme="minorHAnsi"/>
        </w:rPr>
        <w:t xml:space="preserve"> from 2015</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 xml:space="preserve">Government (36,547 jobs) – 2.43% </w:t>
      </w:r>
      <w:r w:rsidR="00DB068D">
        <w:rPr>
          <w:rFonts w:asciiTheme="minorHAnsi" w:hAnsiTheme="minorHAnsi"/>
        </w:rPr>
        <w:t>growth</w:t>
      </w:r>
      <w:r w:rsidR="00DB068D" w:rsidRPr="00A465D8">
        <w:rPr>
          <w:rFonts w:asciiTheme="minorHAnsi" w:hAnsiTheme="minorHAnsi"/>
        </w:rPr>
        <w:t xml:space="preserve"> </w:t>
      </w:r>
      <w:r w:rsidRPr="00A465D8">
        <w:rPr>
          <w:rFonts w:asciiTheme="minorHAnsi" w:hAnsiTheme="minorHAnsi"/>
        </w:rPr>
        <w:t>from 2015</w:t>
      </w:r>
    </w:p>
    <w:p w:rsidR="00A465D8" w:rsidRPr="00A465D8" w:rsidRDefault="00A465D8" w:rsidP="00A465D8">
      <w:pPr>
        <w:pStyle w:val="ListParagraph"/>
        <w:numPr>
          <w:ilvl w:val="1"/>
          <w:numId w:val="64"/>
        </w:numPr>
        <w:spacing w:after="200" w:line="276" w:lineRule="auto"/>
        <w:rPr>
          <w:rFonts w:asciiTheme="minorHAnsi" w:hAnsiTheme="minorHAnsi"/>
        </w:rPr>
      </w:pPr>
      <w:r w:rsidRPr="00A465D8">
        <w:rPr>
          <w:rFonts w:asciiTheme="minorHAnsi" w:hAnsiTheme="minorHAnsi"/>
        </w:rPr>
        <w:t>Accommodation and Food Services (</w:t>
      </w:r>
      <w:r w:rsidR="00DB068D">
        <w:rPr>
          <w:rFonts w:asciiTheme="minorHAnsi" w:hAnsiTheme="minorHAnsi"/>
        </w:rPr>
        <w:t xml:space="preserve">25,643 jobs) – </w:t>
      </w:r>
      <w:r w:rsidRPr="00A465D8">
        <w:rPr>
          <w:rFonts w:asciiTheme="minorHAnsi" w:hAnsiTheme="minorHAnsi"/>
        </w:rPr>
        <w:t xml:space="preserve">18.92% </w:t>
      </w:r>
      <w:r w:rsidR="00DB068D">
        <w:rPr>
          <w:rFonts w:asciiTheme="minorHAnsi" w:hAnsiTheme="minorHAnsi"/>
        </w:rPr>
        <w:t>growth</w:t>
      </w:r>
      <w:r w:rsidR="00DB068D" w:rsidRPr="00A465D8">
        <w:rPr>
          <w:rFonts w:asciiTheme="minorHAnsi" w:hAnsiTheme="minorHAnsi"/>
        </w:rPr>
        <w:t xml:space="preserve"> </w:t>
      </w:r>
      <w:r w:rsidRPr="00A465D8">
        <w:rPr>
          <w:rFonts w:asciiTheme="minorHAnsi" w:hAnsiTheme="minorHAnsi"/>
        </w:rPr>
        <w:t>from 2015</w:t>
      </w:r>
    </w:p>
    <w:p w:rsidR="00A465D8" w:rsidRDefault="00A465D8" w:rsidP="00DB068D">
      <w:pPr>
        <w:pStyle w:val="ListParagraph"/>
        <w:numPr>
          <w:ilvl w:val="1"/>
          <w:numId w:val="64"/>
        </w:numPr>
        <w:spacing w:after="200" w:line="276" w:lineRule="auto"/>
        <w:rPr>
          <w:rFonts w:asciiTheme="minorHAnsi" w:hAnsiTheme="minorHAnsi"/>
        </w:rPr>
      </w:pPr>
      <w:r w:rsidRPr="00A465D8">
        <w:rPr>
          <w:rFonts w:asciiTheme="minorHAnsi" w:hAnsiTheme="minorHAnsi"/>
        </w:rPr>
        <w:t>Transportation and Warehousing (23,091 jobs) –</w:t>
      </w:r>
      <w:r w:rsidR="00DB068D">
        <w:rPr>
          <w:rFonts w:asciiTheme="minorHAnsi" w:hAnsiTheme="minorHAnsi"/>
        </w:rPr>
        <w:t xml:space="preserve"> </w:t>
      </w:r>
      <w:r w:rsidRPr="00A465D8">
        <w:rPr>
          <w:rFonts w:asciiTheme="minorHAnsi" w:hAnsiTheme="minorHAnsi"/>
        </w:rPr>
        <w:t>30.76%</w:t>
      </w:r>
      <w:r w:rsidR="00DB068D">
        <w:rPr>
          <w:rFonts w:asciiTheme="minorHAnsi" w:hAnsiTheme="minorHAnsi"/>
        </w:rPr>
        <w:t xml:space="preserve"> growth</w:t>
      </w:r>
      <w:r w:rsidRPr="00A465D8">
        <w:rPr>
          <w:rFonts w:asciiTheme="minorHAnsi" w:hAnsiTheme="minorHAnsi"/>
        </w:rPr>
        <w:t xml:space="preserve"> from 2015</w:t>
      </w:r>
    </w:p>
    <w:p w:rsidR="00DB068D" w:rsidRPr="00DB068D" w:rsidRDefault="00DB068D" w:rsidP="00DB068D">
      <w:pPr>
        <w:pStyle w:val="ListParagraph"/>
        <w:spacing w:after="200" w:line="276" w:lineRule="auto"/>
        <w:ind w:left="1440"/>
        <w:rPr>
          <w:rFonts w:asciiTheme="minorHAnsi" w:hAnsiTheme="minorHAnsi"/>
        </w:rPr>
      </w:pPr>
    </w:p>
    <w:p w:rsidR="00A465D8" w:rsidRPr="00A465D8" w:rsidRDefault="00A465D8" w:rsidP="00A465D8">
      <w:pPr>
        <w:pStyle w:val="ListParagraph"/>
        <w:numPr>
          <w:ilvl w:val="0"/>
          <w:numId w:val="65"/>
        </w:numPr>
        <w:spacing w:after="200" w:line="276" w:lineRule="auto"/>
        <w:rPr>
          <w:rFonts w:asciiTheme="minorHAnsi" w:hAnsiTheme="minorHAnsi"/>
        </w:rPr>
      </w:pPr>
      <w:r w:rsidRPr="00A465D8">
        <w:rPr>
          <w:rFonts w:asciiTheme="minorHAnsi" w:hAnsiTheme="minorHAnsi"/>
        </w:rPr>
        <w:t xml:space="preserve">In 2015, the top </w:t>
      </w:r>
      <w:r w:rsidR="00095B19">
        <w:rPr>
          <w:rFonts w:asciiTheme="minorHAnsi" w:hAnsiTheme="minorHAnsi"/>
        </w:rPr>
        <w:t xml:space="preserve">five </w:t>
      </w:r>
      <w:r w:rsidRPr="00A465D8">
        <w:rPr>
          <w:rFonts w:asciiTheme="minorHAnsi" w:hAnsiTheme="minorHAnsi"/>
        </w:rPr>
        <w:t>industries in the region in terms of people employed were:</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Government (</w:t>
      </w:r>
      <w:r w:rsidR="00A465D8" w:rsidRPr="00A465D8">
        <w:rPr>
          <w:rFonts w:asciiTheme="minorHAnsi" w:hAnsiTheme="minorHAnsi"/>
        </w:rPr>
        <w:t>233,853 jobs) –</w:t>
      </w:r>
      <w:r>
        <w:rPr>
          <w:rFonts w:asciiTheme="minorHAnsi" w:hAnsiTheme="minorHAnsi"/>
        </w:rPr>
        <w:t xml:space="preserve"> </w:t>
      </w:r>
      <w:r w:rsidR="00A465D8" w:rsidRPr="00A465D8">
        <w:rPr>
          <w:rFonts w:asciiTheme="minorHAnsi" w:hAnsiTheme="minorHAnsi"/>
        </w:rPr>
        <w:t xml:space="preserve">0.14% </w:t>
      </w:r>
      <w:r>
        <w:rPr>
          <w:rFonts w:asciiTheme="minorHAnsi" w:hAnsiTheme="minorHAnsi"/>
        </w:rPr>
        <w:t xml:space="preserve">decline </w:t>
      </w:r>
      <w:r w:rsidR="00A465D8" w:rsidRPr="00A465D8">
        <w:rPr>
          <w:rFonts w:asciiTheme="minorHAnsi" w:hAnsiTheme="minorHAnsi"/>
        </w:rPr>
        <w:t>from 2010</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Retail Trade (</w:t>
      </w:r>
      <w:r w:rsidR="00A465D8" w:rsidRPr="00A465D8">
        <w:rPr>
          <w:rFonts w:asciiTheme="minorHAnsi" w:hAnsiTheme="minorHAnsi"/>
        </w:rPr>
        <w:t>171,405 jobs) –</w:t>
      </w:r>
      <w:r>
        <w:rPr>
          <w:rFonts w:asciiTheme="minorHAnsi" w:hAnsiTheme="minorHAnsi"/>
        </w:rPr>
        <w:t xml:space="preserve"> </w:t>
      </w:r>
      <w:r w:rsidR="00A465D8" w:rsidRPr="00A465D8">
        <w:rPr>
          <w:rFonts w:asciiTheme="minorHAnsi" w:hAnsiTheme="minorHAnsi"/>
        </w:rPr>
        <w:t>10.75%</w:t>
      </w:r>
      <w:r>
        <w:rPr>
          <w:rFonts w:asciiTheme="minorHAnsi" w:hAnsiTheme="minorHAnsi"/>
        </w:rPr>
        <w:t xml:space="preserve"> growth</w:t>
      </w:r>
      <w:r w:rsidR="00A465D8" w:rsidRPr="00A465D8">
        <w:rPr>
          <w:rFonts w:asciiTheme="minorHAnsi" w:hAnsiTheme="minorHAnsi"/>
        </w:rPr>
        <w:t xml:space="preserve"> from 2010</w:t>
      </w:r>
    </w:p>
    <w:p w:rsidR="00A465D8" w:rsidRPr="00A465D8" w:rsidRDefault="00A465D8" w:rsidP="00A465D8">
      <w:pPr>
        <w:pStyle w:val="ListParagraph"/>
        <w:numPr>
          <w:ilvl w:val="1"/>
          <w:numId w:val="65"/>
        </w:numPr>
        <w:spacing w:after="200" w:line="276" w:lineRule="auto"/>
        <w:rPr>
          <w:rFonts w:asciiTheme="minorHAnsi" w:hAnsiTheme="minorHAnsi"/>
        </w:rPr>
      </w:pPr>
      <w:r w:rsidRPr="00A465D8">
        <w:rPr>
          <w:rFonts w:asciiTheme="minorHAnsi" w:hAnsiTheme="minorHAnsi"/>
        </w:rPr>
        <w:t>Health Care and Social Assistance (170,431 jobs) –</w:t>
      </w:r>
      <w:r w:rsidR="00044EF5">
        <w:rPr>
          <w:rFonts w:asciiTheme="minorHAnsi" w:hAnsiTheme="minorHAnsi"/>
        </w:rPr>
        <w:t xml:space="preserve"> </w:t>
      </w:r>
      <w:r w:rsidRPr="00A465D8">
        <w:rPr>
          <w:rFonts w:asciiTheme="minorHAnsi" w:hAnsiTheme="minorHAnsi"/>
        </w:rPr>
        <w:t xml:space="preserve">45.23% </w:t>
      </w:r>
      <w:r w:rsidR="00044EF5">
        <w:rPr>
          <w:rFonts w:asciiTheme="minorHAnsi" w:hAnsiTheme="minorHAnsi"/>
        </w:rPr>
        <w:t xml:space="preserve">growth </w:t>
      </w:r>
      <w:r w:rsidRPr="00A465D8">
        <w:rPr>
          <w:rFonts w:asciiTheme="minorHAnsi" w:hAnsiTheme="minorHAnsi"/>
        </w:rPr>
        <w:t>from 2010</w:t>
      </w:r>
    </w:p>
    <w:p w:rsidR="00A465D8" w:rsidRPr="00A465D8" w:rsidRDefault="00A465D8" w:rsidP="00A465D8">
      <w:pPr>
        <w:pStyle w:val="ListParagraph"/>
        <w:numPr>
          <w:ilvl w:val="1"/>
          <w:numId w:val="65"/>
        </w:numPr>
        <w:spacing w:after="200" w:line="276" w:lineRule="auto"/>
        <w:rPr>
          <w:rFonts w:asciiTheme="minorHAnsi" w:hAnsiTheme="minorHAnsi"/>
        </w:rPr>
      </w:pPr>
      <w:r w:rsidRPr="00A465D8">
        <w:rPr>
          <w:rFonts w:asciiTheme="minorHAnsi" w:hAnsiTheme="minorHAnsi"/>
        </w:rPr>
        <w:t>Accommodat</w:t>
      </w:r>
      <w:r w:rsidR="00044EF5">
        <w:rPr>
          <w:rFonts w:asciiTheme="minorHAnsi" w:hAnsiTheme="minorHAnsi"/>
        </w:rPr>
        <w:t>ion and Food Services (</w:t>
      </w:r>
      <w:r w:rsidRPr="00A465D8">
        <w:rPr>
          <w:rFonts w:asciiTheme="minorHAnsi" w:hAnsiTheme="minorHAnsi"/>
        </w:rPr>
        <w:t xml:space="preserve">132,410 jobs) – </w:t>
      </w:r>
      <w:r w:rsidR="00044EF5">
        <w:rPr>
          <w:rFonts w:asciiTheme="minorHAnsi" w:hAnsiTheme="minorHAnsi"/>
        </w:rPr>
        <w:t>2</w:t>
      </w:r>
      <w:r w:rsidRPr="00A465D8">
        <w:rPr>
          <w:rFonts w:asciiTheme="minorHAnsi" w:hAnsiTheme="minorHAnsi"/>
        </w:rPr>
        <w:t xml:space="preserve">3.09% </w:t>
      </w:r>
      <w:r w:rsidR="00044EF5">
        <w:rPr>
          <w:rFonts w:asciiTheme="minorHAnsi" w:hAnsiTheme="minorHAnsi"/>
        </w:rPr>
        <w:t xml:space="preserve">growth </w:t>
      </w:r>
      <w:r w:rsidRPr="00A465D8">
        <w:rPr>
          <w:rFonts w:asciiTheme="minorHAnsi" w:hAnsiTheme="minorHAnsi"/>
        </w:rPr>
        <w:t>from 2010</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Administrative/</w:t>
      </w:r>
      <w:r w:rsidR="00A465D8" w:rsidRPr="00A465D8">
        <w:rPr>
          <w:rFonts w:asciiTheme="minorHAnsi" w:hAnsiTheme="minorHAnsi"/>
        </w:rPr>
        <w:t>S</w:t>
      </w:r>
      <w:r>
        <w:rPr>
          <w:rFonts w:asciiTheme="minorHAnsi" w:hAnsiTheme="minorHAnsi"/>
        </w:rPr>
        <w:t>upport and Waste Management/</w:t>
      </w:r>
      <w:r w:rsidR="00A465D8" w:rsidRPr="00A465D8">
        <w:rPr>
          <w:rFonts w:asciiTheme="minorHAnsi" w:hAnsiTheme="minorHAnsi"/>
        </w:rPr>
        <w:t xml:space="preserve">Remediation Services (94,319 jobs) – 21.09% </w:t>
      </w:r>
      <w:r>
        <w:rPr>
          <w:rFonts w:asciiTheme="minorHAnsi" w:hAnsiTheme="minorHAnsi"/>
        </w:rPr>
        <w:t xml:space="preserve">growth </w:t>
      </w:r>
      <w:r w:rsidR="00A465D8" w:rsidRPr="00A465D8">
        <w:rPr>
          <w:rFonts w:asciiTheme="minorHAnsi" w:hAnsiTheme="minorHAnsi"/>
        </w:rPr>
        <w:t>from</w:t>
      </w:r>
      <w:r>
        <w:rPr>
          <w:rFonts w:asciiTheme="minorHAnsi" w:hAnsiTheme="minorHAnsi"/>
        </w:rPr>
        <w:t xml:space="preserve"> </w:t>
      </w:r>
      <w:r w:rsidR="00A465D8" w:rsidRPr="00A465D8">
        <w:rPr>
          <w:rFonts w:asciiTheme="minorHAnsi" w:hAnsiTheme="minorHAnsi"/>
        </w:rPr>
        <w:t>2010</w:t>
      </w:r>
    </w:p>
    <w:p w:rsidR="00A465D8" w:rsidRPr="00A465D8" w:rsidRDefault="00A465D8" w:rsidP="00A465D8">
      <w:pPr>
        <w:pStyle w:val="ListParagraph"/>
        <w:ind w:left="1440"/>
        <w:rPr>
          <w:rFonts w:asciiTheme="minorHAnsi" w:hAnsiTheme="minorHAnsi"/>
        </w:rPr>
      </w:pPr>
    </w:p>
    <w:p w:rsidR="00A465D8" w:rsidRPr="00A465D8" w:rsidRDefault="00095B19" w:rsidP="00A465D8">
      <w:pPr>
        <w:pStyle w:val="ListParagraph"/>
        <w:numPr>
          <w:ilvl w:val="0"/>
          <w:numId w:val="65"/>
        </w:numPr>
        <w:spacing w:after="200" w:line="276" w:lineRule="auto"/>
        <w:rPr>
          <w:rFonts w:asciiTheme="minorHAnsi" w:hAnsiTheme="minorHAnsi"/>
        </w:rPr>
      </w:pPr>
      <w:r>
        <w:rPr>
          <w:rFonts w:asciiTheme="minorHAnsi" w:hAnsiTheme="minorHAnsi"/>
        </w:rPr>
        <w:t>By 2025, the top five</w:t>
      </w:r>
      <w:r w:rsidR="00A465D8" w:rsidRPr="00A465D8">
        <w:rPr>
          <w:rFonts w:asciiTheme="minorHAnsi" w:hAnsiTheme="minorHAnsi"/>
        </w:rPr>
        <w:t xml:space="preserve"> industries in the region in terms of people employed are projected to be:</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Government (</w:t>
      </w:r>
      <w:r w:rsidR="00A465D8" w:rsidRPr="00A465D8">
        <w:rPr>
          <w:rFonts w:asciiTheme="minorHAnsi" w:hAnsiTheme="minorHAnsi"/>
        </w:rPr>
        <w:t>244,893 jobs) – 4.72%</w:t>
      </w:r>
      <w:r>
        <w:rPr>
          <w:rFonts w:asciiTheme="minorHAnsi" w:hAnsiTheme="minorHAnsi"/>
        </w:rPr>
        <w:t xml:space="preserve"> growth</w:t>
      </w:r>
      <w:r w:rsidR="00A465D8" w:rsidRPr="00A465D8">
        <w:rPr>
          <w:rFonts w:asciiTheme="minorHAnsi" w:hAnsiTheme="minorHAnsi"/>
        </w:rPr>
        <w:t xml:space="preserve"> from 2015</w:t>
      </w:r>
    </w:p>
    <w:p w:rsidR="00A465D8" w:rsidRPr="00A465D8" w:rsidRDefault="00A465D8" w:rsidP="00A465D8">
      <w:pPr>
        <w:pStyle w:val="ListParagraph"/>
        <w:numPr>
          <w:ilvl w:val="1"/>
          <w:numId w:val="65"/>
        </w:numPr>
        <w:spacing w:after="200" w:line="276" w:lineRule="auto"/>
        <w:rPr>
          <w:rFonts w:asciiTheme="minorHAnsi" w:hAnsiTheme="minorHAnsi"/>
        </w:rPr>
      </w:pPr>
      <w:r w:rsidRPr="00A465D8">
        <w:rPr>
          <w:rFonts w:asciiTheme="minorHAnsi" w:hAnsiTheme="minorHAnsi"/>
        </w:rPr>
        <w:t xml:space="preserve">Health Care and Social Assistance (222,162 jobs) – 30.35% </w:t>
      </w:r>
      <w:r w:rsidR="00044EF5">
        <w:rPr>
          <w:rFonts w:asciiTheme="minorHAnsi" w:hAnsiTheme="minorHAnsi"/>
        </w:rPr>
        <w:t xml:space="preserve">growth </w:t>
      </w:r>
      <w:r w:rsidRPr="00A465D8">
        <w:rPr>
          <w:rFonts w:asciiTheme="minorHAnsi" w:hAnsiTheme="minorHAnsi"/>
        </w:rPr>
        <w:t>from 2015</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 xml:space="preserve">Retail Trade (203,840 jobs) – </w:t>
      </w:r>
      <w:r w:rsidR="00A465D8" w:rsidRPr="00A465D8">
        <w:rPr>
          <w:rFonts w:asciiTheme="minorHAnsi" w:hAnsiTheme="minorHAnsi"/>
        </w:rPr>
        <w:t xml:space="preserve">18.92% </w:t>
      </w:r>
      <w:r>
        <w:rPr>
          <w:rFonts w:asciiTheme="minorHAnsi" w:hAnsiTheme="minorHAnsi"/>
        </w:rPr>
        <w:t xml:space="preserve">growth </w:t>
      </w:r>
      <w:r w:rsidR="00A465D8" w:rsidRPr="00A465D8">
        <w:rPr>
          <w:rFonts w:asciiTheme="minorHAnsi" w:hAnsiTheme="minorHAnsi"/>
        </w:rPr>
        <w:t>from 2015</w:t>
      </w:r>
    </w:p>
    <w:p w:rsidR="00A465D8" w:rsidRPr="00A465D8" w:rsidRDefault="00A465D8" w:rsidP="00A465D8">
      <w:pPr>
        <w:pStyle w:val="ListParagraph"/>
        <w:numPr>
          <w:ilvl w:val="1"/>
          <w:numId w:val="65"/>
        </w:numPr>
        <w:spacing w:after="200" w:line="276" w:lineRule="auto"/>
        <w:rPr>
          <w:rFonts w:asciiTheme="minorHAnsi" w:hAnsiTheme="minorHAnsi"/>
        </w:rPr>
      </w:pPr>
      <w:r w:rsidRPr="00A465D8">
        <w:rPr>
          <w:rFonts w:asciiTheme="minorHAnsi" w:hAnsiTheme="minorHAnsi"/>
        </w:rPr>
        <w:t>Accommodati</w:t>
      </w:r>
      <w:r w:rsidR="00044EF5">
        <w:rPr>
          <w:rFonts w:asciiTheme="minorHAnsi" w:hAnsiTheme="minorHAnsi"/>
        </w:rPr>
        <w:t xml:space="preserve">on and Food Services (157,773 jobs) – </w:t>
      </w:r>
      <w:r w:rsidRPr="00A465D8">
        <w:rPr>
          <w:rFonts w:asciiTheme="minorHAnsi" w:hAnsiTheme="minorHAnsi"/>
        </w:rPr>
        <w:t>19.15%</w:t>
      </w:r>
      <w:r w:rsidR="00044EF5">
        <w:rPr>
          <w:rFonts w:asciiTheme="minorHAnsi" w:hAnsiTheme="minorHAnsi"/>
        </w:rPr>
        <w:t xml:space="preserve"> growth</w:t>
      </w:r>
      <w:r w:rsidRPr="00A465D8">
        <w:rPr>
          <w:rFonts w:asciiTheme="minorHAnsi" w:hAnsiTheme="minorHAnsi"/>
        </w:rPr>
        <w:t xml:space="preserve"> from 2015</w:t>
      </w:r>
    </w:p>
    <w:p w:rsidR="00A465D8" w:rsidRPr="00A465D8" w:rsidRDefault="00044EF5" w:rsidP="00A465D8">
      <w:pPr>
        <w:pStyle w:val="ListParagraph"/>
        <w:numPr>
          <w:ilvl w:val="1"/>
          <w:numId w:val="65"/>
        </w:numPr>
        <w:spacing w:after="200" w:line="276" w:lineRule="auto"/>
        <w:rPr>
          <w:rFonts w:asciiTheme="minorHAnsi" w:hAnsiTheme="minorHAnsi"/>
        </w:rPr>
      </w:pPr>
      <w:r>
        <w:rPr>
          <w:rFonts w:asciiTheme="minorHAnsi" w:hAnsiTheme="minorHAnsi"/>
        </w:rPr>
        <w:t>Administrative/</w:t>
      </w:r>
      <w:r w:rsidR="00A465D8" w:rsidRPr="00A465D8">
        <w:rPr>
          <w:rFonts w:asciiTheme="minorHAnsi" w:hAnsiTheme="minorHAnsi"/>
        </w:rPr>
        <w:t>S</w:t>
      </w:r>
      <w:r>
        <w:rPr>
          <w:rFonts w:asciiTheme="minorHAnsi" w:hAnsiTheme="minorHAnsi"/>
        </w:rPr>
        <w:t>upport and Waste Management/</w:t>
      </w:r>
      <w:r w:rsidR="00A465D8" w:rsidRPr="00A465D8">
        <w:rPr>
          <w:rFonts w:asciiTheme="minorHAnsi" w:hAnsiTheme="minorHAnsi"/>
        </w:rPr>
        <w:t>Remediation Services (</w:t>
      </w:r>
      <w:r>
        <w:rPr>
          <w:rFonts w:asciiTheme="minorHAnsi" w:hAnsiTheme="minorHAnsi"/>
        </w:rPr>
        <w:t>113,626 jobs) –</w:t>
      </w:r>
      <w:r w:rsidR="00A465D8" w:rsidRPr="00A465D8">
        <w:rPr>
          <w:rFonts w:asciiTheme="minorHAnsi" w:hAnsiTheme="minorHAnsi"/>
        </w:rPr>
        <w:t xml:space="preserve">20.47% </w:t>
      </w:r>
      <w:r>
        <w:rPr>
          <w:rFonts w:asciiTheme="minorHAnsi" w:hAnsiTheme="minorHAnsi"/>
        </w:rPr>
        <w:t xml:space="preserve">growth </w:t>
      </w:r>
      <w:r w:rsidR="00A465D8" w:rsidRPr="00A465D8">
        <w:rPr>
          <w:rFonts w:asciiTheme="minorHAnsi" w:hAnsiTheme="minorHAnsi"/>
        </w:rPr>
        <w:t>from 2015</w:t>
      </w:r>
    </w:p>
    <w:p w:rsidR="00A465D8" w:rsidRPr="00A465D8" w:rsidRDefault="00A465D8" w:rsidP="00694BCD">
      <w:pPr>
        <w:spacing w:after="0" w:line="240" w:lineRule="auto"/>
        <w:rPr>
          <w:rFonts w:asciiTheme="minorHAnsi" w:hAnsiTheme="minorHAnsi"/>
        </w:rPr>
      </w:pPr>
      <w:r w:rsidRPr="00A465D8">
        <w:rPr>
          <w:rFonts w:asciiTheme="minorHAnsi" w:hAnsiTheme="minorHAnsi"/>
          <w:i/>
        </w:rPr>
        <w:t>Occupation Estimates and Projections</w:t>
      </w:r>
    </w:p>
    <w:p w:rsidR="00A465D8" w:rsidRPr="00A465D8" w:rsidRDefault="00A465D8" w:rsidP="00694BCD">
      <w:pPr>
        <w:pStyle w:val="ListParagraph"/>
        <w:numPr>
          <w:ilvl w:val="0"/>
          <w:numId w:val="66"/>
        </w:numPr>
        <w:spacing w:after="0" w:line="240" w:lineRule="auto"/>
        <w:rPr>
          <w:rFonts w:asciiTheme="minorHAnsi" w:hAnsiTheme="minorHAnsi"/>
        </w:rPr>
      </w:pPr>
      <w:r w:rsidRPr="00A465D8">
        <w:rPr>
          <w:rFonts w:asciiTheme="minorHAnsi" w:hAnsiTheme="minorHAnsi"/>
        </w:rPr>
        <w:t>There are projected to be approximately 8,026 average annual job openings in the service area between 2015 and 2025, excluding occupations with an average hourly wage of less than $12 and occupations with insufficient data to determine hourly wages. The 8,026 annual openings can be broken down by typical entry level education as follows: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2,002 (24.94%) openings – less than high school</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3,018 (37.6%) openings – high school diploma or equivalent</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123 (1.54%) openings – some college, no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765 (9.54%) openings – postsecondary non-degree award</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451 (5.62%) openings – Associate’s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1,208 (15.05%) openings – Bachelor’s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174 (2.17%) openings – Master’s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285 (3.55%) openings – Doctoral or professional degree</w:t>
      </w:r>
    </w:p>
    <w:p w:rsidR="00A465D8" w:rsidRPr="00A465D8" w:rsidRDefault="00A465D8" w:rsidP="00A465D8">
      <w:pPr>
        <w:pStyle w:val="ListParagraph"/>
        <w:ind w:left="1440"/>
        <w:rPr>
          <w:rFonts w:asciiTheme="minorHAnsi" w:hAnsiTheme="minorHAnsi"/>
        </w:rPr>
      </w:pPr>
    </w:p>
    <w:p w:rsidR="00583063" w:rsidRDefault="0011640F" w:rsidP="00A465D8">
      <w:pPr>
        <w:pStyle w:val="ListParagraph"/>
        <w:numPr>
          <w:ilvl w:val="0"/>
          <w:numId w:val="66"/>
        </w:numPr>
        <w:spacing w:after="200" w:line="276" w:lineRule="auto"/>
        <w:rPr>
          <w:rFonts w:asciiTheme="minorHAnsi" w:hAnsiTheme="minorHAnsi"/>
        </w:rPr>
      </w:pPr>
      <w:r>
        <w:rPr>
          <w:rFonts w:asciiTheme="minorHAnsi" w:hAnsiTheme="minorHAnsi"/>
        </w:rPr>
        <w:t xml:space="preserve">Of the top thirty annual job openings within the service area between 2015 and 2025, approximately 825 annual openings are related to medical occupations, approximately 819 are related to business professions, and approximately 328 </w:t>
      </w:r>
      <w:r w:rsidR="00C553B2">
        <w:rPr>
          <w:rFonts w:asciiTheme="minorHAnsi" w:hAnsiTheme="minorHAnsi"/>
        </w:rPr>
        <w:t xml:space="preserve">jobs </w:t>
      </w:r>
      <w:r>
        <w:rPr>
          <w:rFonts w:asciiTheme="minorHAnsi" w:hAnsiTheme="minorHAnsi"/>
        </w:rPr>
        <w:t>a</w:t>
      </w:r>
      <w:r w:rsidR="00C553B2">
        <w:rPr>
          <w:rFonts w:asciiTheme="minorHAnsi" w:hAnsiTheme="minorHAnsi"/>
        </w:rPr>
        <w:t>re</w:t>
      </w:r>
      <w:r>
        <w:rPr>
          <w:rFonts w:asciiTheme="minorHAnsi" w:hAnsiTheme="minorHAnsi"/>
        </w:rPr>
        <w:t xml:space="preserve"> related to education/teaching.</w:t>
      </w: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lastRenderedPageBreak/>
        <w:t xml:space="preserve">Of the projected 8,026 average annual occupation openings in the service area between 2015 and 2025, approximately 3,409 openings belong to occupations that are related to programs </w:t>
      </w:r>
      <w:r w:rsidR="00044EF5">
        <w:rPr>
          <w:rFonts w:asciiTheme="minorHAnsi" w:hAnsiTheme="minorHAnsi"/>
        </w:rPr>
        <w:t xml:space="preserve">currently </w:t>
      </w:r>
      <w:r w:rsidRPr="00A465D8">
        <w:rPr>
          <w:rFonts w:asciiTheme="minorHAnsi" w:hAnsiTheme="minorHAnsi"/>
        </w:rPr>
        <w:t xml:space="preserve">offered by CHC. The 3,409 openings can be </w:t>
      </w:r>
      <w:r w:rsidR="00044EF5">
        <w:rPr>
          <w:rFonts w:asciiTheme="minorHAnsi" w:hAnsiTheme="minorHAnsi"/>
        </w:rPr>
        <w:t>divided</w:t>
      </w:r>
      <w:r w:rsidRPr="00A465D8">
        <w:rPr>
          <w:rFonts w:asciiTheme="minorHAnsi" w:hAnsiTheme="minorHAnsi"/>
        </w:rPr>
        <w:t xml:space="preserve"> by typical entry level education as follows: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1,260 (36.97%) openings – high school diploma or equivalent</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120 (3.52%) openings – some college, no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308 (9.03%) openings – postsecondary non-degree award</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376 (11.04%) openings – Associate’s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1,022 (29.99%) openings – Bachelor’s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159 (4.66%) openings – Master’s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163 (4.79%) openings – Doctoral of professional degree</w:t>
      </w:r>
    </w:p>
    <w:p w:rsidR="00A465D8" w:rsidRPr="00A465D8" w:rsidRDefault="00A465D8" w:rsidP="00A465D8">
      <w:pPr>
        <w:pStyle w:val="ListParagraph"/>
        <w:ind w:left="1440"/>
        <w:rPr>
          <w:rFonts w:asciiTheme="minorHAnsi" w:hAnsiTheme="minorHAnsi"/>
        </w:rPr>
      </w:pP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t>The programs with the highest number of related average annual openings in the service area between 2015 and 2025 are the following:</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Business Administration (30.79% or 1,050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Biology (19.92% or 679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Child Development and Education (16.79% or 572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Accounting (10.44% or 356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Psychology (5.98% or 204 openings)</w:t>
      </w:r>
    </w:p>
    <w:p w:rsidR="00A465D8" w:rsidRPr="00A465D8" w:rsidRDefault="00A465D8" w:rsidP="00A465D8">
      <w:pPr>
        <w:pStyle w:val="ListParagraph"/>
        <w:ind w:left="1440"/>
        <w:rPr>
          <w:rFonts w:asciiTheme="minorHAnsi" w:hAnsiTheme="minorHAnsi"/>
        </w:rPr>
      </w:pPr>
    </w:p>
    <w:p w:rsidR="00A465D8" w:rsidRPr="00A465D8" w:rsidRDefault="00CC1B21" w:rsidP="00A465D8">
      <w:pPr>
        <w:pStyle w:val="ListParagraph"/>
        <w:numPr>
          <w:ilvl w:val="0"/>
          <w:numId w:val="66"/>
        </w:numPr>
        <w:spacing w:after="200" w:line="276" w:lineRule="auto"/>
        <w:rPr>
          <w:rFonts w:asciiTheme="minorHAnsi" w:hAnsiTheme="minorHAnsi"/>
        </w:rPr>
      </w:pPr>
      <w:r>
        <w:rPr>
          <w:rFonts w:asciiTheme="minorHAnsi" w:hAnsiTheme="minorHAnsi"/>
        </w:rPr>
        <w:t>T</w:t>
      </w:r>
      <w:r w:rsidR="00A465D8" w:rsidRPr="00A465D8">
        <w:rPr>
          <w:rFonts w:asciiTheme="minorHAnsi" w:hAnsiTheme="minorHAnsi"/>
        </w:rPr>
        <w:t>he service area job openings that have a typical entry level education of a postsecondary non-degree award or higher between 2015 and 2025 are expected to primarily be related to the following programs: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Biology (31.42% or 675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Child Development and Education (23.13% or 497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Business Administration (14.42% or 310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Psychology (6.95% or 149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Accounting (6.66% or 143 openings)</w:t>
      </w:r>
    </w:p>
    <w:p w:rsidR="00A465D8" w:rsidRPr="00A465D8" w:rsidRDefault="00A465D8" w:rsidP="00A465D8">
      <w:pPr>
        <w:pStyle w:val="ListParagraph"/>
        <w:ind w:left="1440"/>
        <w:rPr>
          <w:rFonts w:asciiTheme="minorHAnsi" w:hAnsiTheme="minorHAnsi"/>
        </w:rPr>
      </w:pP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t>There are proj</w:t>
      </w:r>
      <w:r w:rsidR="007C650D">
        <w:rPr>
          <w:rFonts w:asciiTheme="minorHAnsi" w:hAnsiTheme="minorHAnsi"/>
        </w:rPr>
        <w:t>ected to be approximately 44,181</w:t>
      </w:r>
      <w:r w:rsidRPr="00A465D8">
        <w:rPr>
          <w:rFonts w:asciiTheme="minorHAnsi" w:hAnsiTheme="minorHAnsi"/>
        </w:rPr>
        <w:t xml:space="preserve"> average annual job openings between 2015 and 2025 in the region, excluding occupations with an average hourly wage of less than $12 and occupations with insufficient data to determine</w:t>
      </w:r>
      <w:r w:rsidR="007C650D">
        <w:rPr>
          <w:rFonts w:asciiTheme="minorHAnsi" w:hAnsiTheme="minorHAnsi"/>
        </w:rPr>
        <w:t xml:space="preserve"> average hourly wages. The 44,181</w:t>
      </w:r>
      <w:r w:rsidRPr="00A465D8">
        <w:rPr>
          <w:rFonts w:asciiTheme="minorHAnsi" w:hAnsiTheme="minorHAnsi"/>
        </w:rPr>
        <w:t xml:space="preserve"> openings can be broken down by typical entry level education as follows:</w:t>
      </w:r>
    </w:p>
    <w:p w:rsidR="00A465D8" w:rsidRPr="00A465D8" w:rsidRDefault="007C650D" w:rsidP="00A465D8">
      <w:pPr>
        <w:pStyle w:val="ListParagraph"/>
        <w:numPr>
          <w:ilvl w:val="1"/>
          <w:numId w:val="66"/>
        </w:numPr>
        <w:spacing w:after="200" w:line="276" w:lineRule="auto"/>
        <w:rPr>
          <w:rFonts w:asciiTheme="minorHAnsi" w:hAnsiTheme="minorHAnsi"/>
        </w:rPr>
      </w:pPr>
      <w:r>
        <w:rPr>
          <w:rFonts w:asciiTheme="minorHAnsi" w:hAnsiTheme="minorHAnsi"/>
        </w:rPr>
        <w:t>11,598 (26.25</w:t>
      </w:r>
      <w:r w:rsidR="00A465D8" w:rsidRPr="00A465D8">
        <w:rPr>
          <w:rFonts w:asciiTheme="minorHAnsi" w:hAnsiTheme="minorHAnsi"/>
        </w:rPr>
        <w:t>%) openings – less than high school</w:t>
      </w:r>
    </w:p>
    <w:p w:rsidR="00A465D8" w:rsidRPr="00A465D8" w:rsidRDefault="007C650D" w:rsidP="00A465D8">
      <w:pPr>
        <w:pStyle w:val="ListParagraph"/>
        <w:numPr>
          <w:ilvl w:val="1"/>
          <w:numId w:val="66"/>
        </w:numPr>
        <w:spacing w:after="200" w:line="276" w:lineRule="auto"/>
        <w:rPr>
          <w:rFonts w:asciiTheme="minorHAnsi" w:hAnsiTheme="minorHAnsi"/>
        </w:rPr>
      </w:pPr>
      <w:r>
        <w:rPr>
          <w:rFonts w:asciiTheme="minorHAnsi" w:hAnsiTheme="minorHAnsi"/>
        </w:rPr>
        <w:t>18,170 (41.13</w:t>
      </w:r>
      <w:r w:rsidR="00A465D8" w:rsidRPr="00A465D8">
        <w:rPr>
          <w:rFonts w:asciiTheme="minorHAnsi" w:hAnsiTheme="minorHAnsi"/>
        </w:rPr>
        <w:t>%) openings – high school diploma or equivalent</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584 (1.32%) openings – some college, no degree</w:t>
      </w:r>
    </w:p>
    <w:p w:rsidR="00A465D8" w:rsidRPr="00A465D8" w:rsidRDefault="007C650D" w:rsidP="00A465D8">
      <w:pPr>
        <w:pStyle w:val="ListParagraph"/>
        <w:numPr>
          <w:ilvl w:val="1"/>
          <w:numId w:val="66"/>
        </w:numPr>
        <w:spacing w:after="200" w:line="276" w:lineRule="auto"/>
        <w:rPr>
          <w:rFonts w:asciiTheme="minorHAnsi" w:hAnsiTheme="minorHAnsi"/>
        </w:rPr>
      </w:pPr>
      <w:r>
        <w:rPr>
          <w:rFonts w:asciiTheme="minorHAnsi" w:hAnsiTheme="minorHAnsi"/>
        </w:rPr>
        <w:t>3,533 (8</w:t>
      </w:r>
      <w:r w:rsidR="00A465D8" w:rsidRPr="00A465D8">
        <w:rPr>
          <w:rFonts w:asciiTheme="minorHAnsi" w:hAnsiTheme="minorHAnsi"/>
        </w:rPr>
        <w:t>%) openings – postsecondary non-degree award</w:t>
      </w:r>
    </w:p>
    <w:p w:rsidR="00A465D8" w:rsidRPr="00A465D8" w:rsidRDefault="007C650D" w:rsidP="00A465D8">
      <w:pPr>
        <w:pStyle w:val="ListParagraph"/>
        <w:numPr>
          <w:ilvl w:val="1"/>
          <w:numId w:val="66"/>
        </w:numPr>
        <w:spacing w:after="200" w:line="276" w:lineRule="auto"/>
        <w:rPr>
          <w:rFonts w:asciiTheme="minorHAnsi" w:hAnsiTheme="minorHAnsi"/>
        </w:rPr>
      </w:pPr>
      <w:r>
        <w:rPr>
          <w:rFonts w:asciiTheme="minorHAnsi" w:hAnsiTheme="minorHAnsi"/>
        </w:rPr>
        <w:t>1,939 (4.39</w:t>
      </w:r>
      <w:r w:rsidR="00A465D8" w:rsidRPr="00A465D8">
        <w:rPr>
          <w:rFonts w:asciiTheme="minorHAnsi" w:hAnsiTheme="minorHAnsi"/>
        </w:rPr>
        <w:t>%) openings – Associate’s degree</w:t>
      </w:r>
    </w:p>
    <w:p w:rsidR="00A465D8" w:rsidRPr="00A465D8" w:rsidRDefault="007C650D" w:rsidP="00A465D8">
      <w:pPr>
        <w:pStyle w:val="ListParagraph"/>
        <w:numPr>
          <w:ilvl w:val="1"/>
          <w:numId w:val="66"/>
        </w:numPr>
        <w:spacing w:after="200" w:line="276" w:lineRule="auto"/>
        <w:rPr>
          <w:rFonts w:asciiTheme="minorHAnsi" w:hAnsiTheme="minorHAnsi"/>
        </w:rPr>
      </w:pPr>
      <w:r>
        <w:rPr>
          <w:rFonts w:asciiTheme="minorHAnsi" w:hAnsiTheme="minorHAnsi"/>
        </w:rPr>
        <w:t>6,447 (14.59</w:t>
      </w:r>
      <w:r w:rsidR="00A465D8" w:rsidRPr="00A465D8">
        <w:rPr>
          <w:rFonts w:asciiTheme="minorHAnsi" w:hAnsiTheme="minorHAnsi"/>
        </w:rPr>
        <w:t>%) openings – Bachelor’s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728 (1.65%) openings – Master’s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1,182 (2.68%) openings – Doctoral or professional degree</w:t>
      </w:r>
    </w:p>
    <w:p w:rsidR="00A465D8" w:rsidRPr="00A465D8" w:rsidRDefault="00A465D8" w:rsidP="00A465D8">
      <w:pPr>
        <w:pStyle w:val="ListParagraph"/>
        <w:ind w:left="1440"/>
        <w:rPr>
          <w:rFonts w:asciiTheme="minorHAnsi" w:hAnsiTheme="minorHAnsi"/>
        </w:rPr>
      </w:pPr>
    </w:p>
    <w:p w:rsidR="00C553B2" w:rsidRDefault="00C553B2" w:rsidP="00C553B2">
      <w:pPr>
        <w:pStyle w:val="ListParagraph"/>
        <w:numPr>
          <w:ilvl w:val="0"/>
          <w:numId w:val="66"/>
        </w:numPr>
        <w:spacing w:after="200" w:line="276" w:lineRule="auto"/>
        <w:rPr>
          <w:rFonts w:asciiTheme="minorHAnsi" w:hAnsiTheme="minorHAnsi"/>
        </w:rPr>
      </w:pPr>
      <w:r>
        <w:rPr>
          <w:rFonts w:asciiTheme="minorHAnsi" w:hAnsiTheme="minorHAnsi"/>
        </w:rPr>
        <w:lastRenderedPageBreak/>
        <w:t>Of the top thirty annual job openings within the region between 2015 and 2025, approximately 2,404 annual openings are related to medical occupations, approximately 5,090 are related to business professions, and approximately 1,374 jobs are related to education/teaching.</w:t>
      </w:r>
    </w:p>
    <w:p w:rsidR="00C553B2" w:rsidRDefault="00C553B2" w:rsidP="00C553B2">
      <w:pPr>
        <w:pStyle w:val="ListParagraph"/>
        <w:spacing w:after="200" w:line="276" w:lineRule="auto"/>
        <w:rPr>
          <w:rFonts w:asciiTheme="minorHAnsi" w:hAnsiTheme="minorHAnsi"/>
        </w:rPr>
      </w:pP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t>Of the 44,103 average annual job openings in the region, approximately 17,538 openings belong to occupations related to</w:t>
      </w:r>
      <w:r w:rsidR="008D6ACD">
        <w:rPr>
          <w:rFonts w:asciiTheme="minorHAnsi" w:hAnsiTheme="minorHAnsi"/>
        </w:rPr>
        <w:t xml:space="preserve"> current</w:t>
      </w:r>
      <w:r w:rsidRPr="00A465D8">
        <w:rPr>
          <w:rFonts w:asciiTheme="minorHAnsi" w:hAnsiTheme="minorHAnsi"/>
        </w:rPr>
        <w:t xml:space="preserve"> programs offered by CHC. The 17,538 openings can </w:t>
      </w:r>
      <w:r w:rsidR="008D6ACD">
        <w:rPr>
          <w:rFonts w:asciiTheme="minorHAnsi" w:hAnsiTheme="minorHAnsi"/>
        </w:rPr>
        <w:t>be divided</w:t>
      </w:r>
      <w:r w:rsidRPr="00A465D8">
        <w:rPr>
          <w:rFonts w:asciiTheme="minorHAnsi" w:hAnsiTheme="minorHAnsi"/>
        </w:rPr>
        <w:t xml:space="preserve"> by typical entry level education as follows: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 xml:space="preserve">7,013 (39.99%) openings – high school diploma or equivalent </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549 (3.13%) openings – some college, no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1,319 (7.52%) openings – postsecondary non-degree award</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1,592 (9.08%) openings – Associate’s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5,715 (32.59%) openings – Bachelor’s degree</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641 (3.66%) openings – Master’s degree</w:t>
      </w:r>
    </w:p>
    <w:p w:rsid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710 (4.05%) openings – Doctoral or professional degree</w:t>
      </w:r>
    </w:p>
    <w:p w:rsidR="00694BCD" w:rsidRPr="00A465D8" w:rsidRDefault="00694BCD" w:rsidP="00694BCD">
      <w:pPr>
        <w:pStyle w:val="ListParagraph"/>
        <w:spacing w:after="200" w:line="276" w:lineRule="auto"/>
        <w:ind w:left="1440"/>
        <w:rPr>
          <w:rFonts w:asciiTheme="minorHAnsi" w:hAnsiTheme="minorHAnsi"/>
        </w:rPr>
      </w:pP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t>The programs with the highest number of related average annual openings in the region between 2015 and 2025 are the following:</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Business Administration (34.74% or 6,093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Biology (14.46% or 2,536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Child Development and Education (14.42% or 2,529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Accounting (10.65% or 1,869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Communication Studies (6.75% or 1,185 openings)</w:t>
      </w:r>
    </w:p>
    <w:p w:rsidR="00A465D8" w:rsidRPr="00A465D8" w:rsidRDefault="00A465D8" w:rsidP="00A465D8">
      <w:pPr>
        <w:pStyle w:val="ListParagraph"/>
        <w:ind w:left="1440"/>
        <w:rPr>
          <w:rFonts w:asciiTheme="minorHAnsi" w:hAnsiTheme="minorHAnsi"/>
        </w:rPr>
      </w:pPr>
    </w:p>
    <w:p w:rsidR="00A465D8" w:rsidRPr="00A465D8" w:rsidRDefault="00A465D8" w:rsidP="00A465D8">
      <w:pPr>
        <w:pStyle w:val="ListParagraph"/>
        <w:numPr>
          <w:ilvl w:val="0"/>
          <w:numId w:val="66"/>
        </w:numPr>
        <w:spacing w:after="200" w:line="276" w:lineRule="auto"/>
        <w:rPr>
          <w:rFonts w:asciiTheme="minorHAnsi" w:hAnsiTheme="minorHAnsi"/>
        </w:rPr>
      </w:pPr>
      <w:r w:rsidRPr="00A465D8">
        <w:rPr>
          <w:rFonts w:asciiTheme="minorHAnsi" w:hAnsiTheme="minorHAnsi"/>
        </w:rPr>
        <w:t>The regional job openings that have a typical entry level education of at least a postsecondary non-degree award or higher between 2015 and 2025 are expected to primarily relate to the following programs: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Biology (23.86% or 2,511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Child Development and Education (21.19% or 2,230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Business Administration (18.71% or 1,969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Accounting (7.65% or 805 openings)</w:t>
      </w:r>
    </w:p>
    <w:p w:rsidR="00A465D8" w:rsidRPr="00A465D8" w:rsidRDefault="00A465D8" w:rsidP="00A465D8">
      <w:pPr>
        <w:pStyle w:val="ListParagraph"/>
        <w:numPr>
          <w:ilvl w:val="1"/>
          <w:numId w:val="66"/>
        </w:numPr>
        <w:spacing w:after="200" w:line="276" w:lineRule="auto"/>
        <w:rPr>
          <w:rFonts w:asciiTheme="minorHAnsi" w:hAnsiTheme="minorHAnsi"/>
        </w:rPr>
      </w:pPr>
      <w:r w:rsidRPr="00A465D8">
        <w:rPr>
          <w:rFonts w:asciiTheme="minorHAnsi" w:hAnsiTheme="minorHAnsi"/>
        </w:rPr>
        <w:t>Psychology (5.9% or 621 openings)</w:t>
      </w:r>
    </w:p>
    <w:p w:rsidR="00AF32DE" w:rsidRDefault="0037778F" w:rsidP="00A465D8">
      <w:pPr>
        <w:contextualSpacing/>
        <w:rPr>
          <w:rFonts w:asciiTheme="minorHAnsi" w:hAnsiTheme="minorHAnsi"/>
          <w:b/>
          <w:color w:val="008000"/>
        </w:rPr>
      </w:pPr>
      <w:r w:rsidRPr="00583063">
        <w:rPr>
          <w:rFonts w:asciiTheme="minorHAnsi" w:hAnsiTheme="minorHAnsi"/>
          <w:b/>
          <w:color w:val="008000"/>
        </w:rPr>
        <w:t>Considerations</w:t>
      </w:r>
      <w:r w:rsidR="00AF32DE" w:rsidRPr="00AF32DE">
        <w:rPr>
          <w:rFonts w:asciiTheme="minorHAnsi" w:hAnsiTheme="minorHAnsi"/>
          <w:b/>
          <w:color w:val="008000"/>
        </w:rPr>
        <w:t xml:space="preserve"> from Internal and External Scan Data</w:t>
      </w:r>
      <w:r>
        <w:rPr>
          <w:rFonts w:asciiTheme="minorHAnsi" w:hAnsiTheme="minorHAnsi"/>
          <w:b/>
          <w:color w:val="008000"/>
        </w:rPr>
        <w:t xml:space="preserve"> Comparison</w:t>
      </w:r>
    </w:p>
    <w:p w:rsidR="00254671" w:rsidRDefault="00254671" w:rsidP="00A465D8">
      <w:pPr>
        <w:contextualSpacing/>
        <w:rPr>
          <w:rFonts w:asciiTheme="minorHAnsi" w:hAnsiTheme="minorHAnsi"/>
          <w:color w:val="auto"/>
        </w:rPr>
      </w:pPr>
      <w:r>
        <w:rPr>
          <w:rFonts w:asciiTheme="minorHAnsi" w:hAnsiTheme="minorHAnsi"/>
          <w:color w:val="auto"/>
        </w:rPr>
        <w:t xml:space="preserve">Participation rate may be defined as the number of headcount students the College enrolls for every 1,000 persons within the service area population. </w:t>
      </w:r>
      <w:r w:rsidR="00312CE6">
        <w:rPr>
          <w:rFonts w:asciiTheme="minorHAnsi" w:hAnsiTheme="minorHAnsi"/>
          <w:color w:val="auto"/>
        </w:rPr>
        <w:t xml:space="preserve">During the 2014-15 academic </w:t>
      </w:r>
      <w:proofErr w:type="gramStart"/>
      <w:r w:rsidR="00312CE6">
        <w:rPr>
          <w:rFonts w:asciiTheme="minorHAnsi" w:hAnsiTheme="minorHAnsi"/>
          <w:color w:val="auto"/>
        </w:rPr>
        <w:t>year</w:t>
      </w:r>
      <w:proofErr w:type="gramEnd"/>
      <w:r w:rsidR="00312CE6">
        <w:rPr>
          <w:rFonts w:asciiTheme="minorHAnsi" w:hAnsiTheme="minorHAnsi"/>
          <w:color w:val="auto"/>
        </w:rPr>
        <w:t xml:space="preserve">, CHC had a participation rate of 8.24 students per 1,000 persons within the service area.  During the most recent enrollment peak (2008-09) the College’s participation rate was 10.44 students per 1,000 persons within the service area.  </w:t>
      </w:r>
      <w:r>
        <w:rPr>
          <w:rFonts w:asciiTheme="minorHAnsi" w:hAnsiTheme="minorHAnsi"/>
          <w:color w:val="auto"/>
        </w:rPr>
        <w:t xml:space="preserve"> </w:t>
      </w:r>
      <w:r w:rsidR="00312CE6">
        <w:rPr>
          <w:rFonts w:asciiTheme="minorHAnsi" w:hAnsiTheme="minorHAnsi"/>
          <w:color w:val="auto"/>
        </w:rPr>
        <w:t>The State-wide California Community College participation rate is approximately 54 students per 1,000 persons within the total population.</w:t>
      </w:r>
      <w:r w:rsidR="00683FD8">
        <w:rPr>
          <w:rFonts w:asciiTheme="minorHAnsi" w:hAnsiTheme="minorHAnsi"/>
          <w:color w:val="auto"/>
        </w:rPr>
        <w:t xml:space="preserve">  There is a significant opportunity for CHC to increase its participation rate.</w:t>
      </w:r>
    </w:p>
    <w:p w:rsidR="00683FD8" w:rsidRDefault="00683FD8" w:rsidP="00A465D8">
      <w:pPr>
        <w:contextualSpacing/>
        <w:rPr>
          <w:rFonts w:asciiTheme="minorHAnsi" w:hAnsiTheme="minorHAnsi"/>
          <w:color w:val="auto"/>
        </w:rPr>
      </w:pPr>
    </w:p>
    <w:p w:rsidR="00583063" w:rsidRDefault="00583063" w:rsidP="00A465D8">
      <w:pPr>
        <w:contextualSpacing/>
        <w:rPr>
          <w:rFonts w:asciiTheme="minorHAnsi" w:hAnsiTheme="minorHAnsi"/>
          <w:color w:val="auto"/>
        </w:rPr>
      </w:pPr>
    </w:p>
    <w:p w:rsidR="00583063" w:rsidRDefault="00583063" w:rsidP="00583063">
      <w:pPr>
        <w:contextualSpacing/>
        <w:jc w:val="center"/>
        <w:rPr>
          <w:rFonts w:asciiTheme="minorHAnsi" w:hAnsiTheme="minorHAnsi"/>
          <w:b/>
          <w:color w:val="008000"/>
        </w:rPr>
      </w:pPr>
      <w:r w:rsidRPr="00583063">
        <w:rPr>
          <w:rFonts w:asciiTheme="minorHAnsi" w:hAnsiTheme="minorHAnsi"/>
          <w:b/>
          <w:color w:val="008000"/>
        </w:rPr>
        <w:lastRenderedPageBreak/>
        <w:t>Exhibit 4.XX Participation Rate (Per 1,000 Persons in Total Population)</w:t>
      </w:r>
    </w:p>
    <w:p w:rsidR="00583063" w:rsidRPr="00583063" w:rsidRDefault="00583063" w:rsidP="00583063">
      <w:pPr>
        <w:contextualSpacing/>
        <w:jc w:val="center"/>
        <w:rPr>
          <w:rFonts w:asciiTheme="minorHAnsi" w:hAnsiTheme="minorHAnsi"/>
          <w:b/>
          <w:color w:val="008000"/>
        </w:rPr>
      </w:pPr>
      <w:r>
        <w:rPr>
          <w:noProof/>
        </w:rPr>
        <w:drawing>
          <wp:inline distT="0" distB="0" distL="0" distR="0">
            <wp:extent cx="5676900" cy="21526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4671" w:rsidRPr="00683FD8" w:rsidRDefault="00683FD8" w:rsidP="00A465D8">
      <w:pPr>
        <w:contextualSpacing/>
        <w:rPr>
          <w:rFonts w:asciiTheme="minorHAnsi" w:hAnsiTheme="minorHAnsi"/>
          <w:color w:val="auto"/>
        </w:rPr>
      </w:pPr>
      <w:r w:rsidRPr="00683FD8">
        <w:rPr>
          <w:rFonts w:asciiTheme="minorHAnsi" w:hAnsiTheme="minorHAnsi"/>
          <w:color w:val="auto"/>
        </w:rPr>
        <w:t>While the service area population age 20-29 years old increased by 22,000 persons from 2010 to 2015, enrollment from students age 20-29 years old increased by only 104 s</w:t>
      </w:r>
      <w:r w:rsidR="00C2691C">
        <w:rPr>
          <w:rFonts w:asciiTheme="minorHAnsi" w:hAnsiTheme="minorHAnsi"/>
          <w:color w:val="auto"/>
        </w:rPr>
        <w:t xml:space="preserve">tudents from 2010-11 to 2014-15.  Between 2015 and 2025, the 20-29 year old age group within the service area is projected to decrease by 23,501 persons (-28.03%).  The College cannot rely on population growth as a major contributor to enrollment growth and should focus efforts on attracting a larger proportion of persons within its core College demographic.   </w:t>
      </w:r>
      <w:r w:rsidRPr="00683FD8">
        <w:rPr>
          <w:rFonts w:asciiTheme="minorHAnsi" w:hAnsiTheme="minorHAnsi"/>
          <w:color w:val="auto"/>
        </w:rPr>
        <w:t xml:space="preserve"> </w:t>
      </w:r>
    </w:p>
    <w:p w:rsidR="000A60F1" w:rsidRDefault="001C6FAE" w:rsidP="009257A5">
      <w:pPr>
        <w:pStyle w:val="NoSpacing"/>
      </w:pPr>
      <w:r>
        <w:t xml:space="preserve">The College has made significant progress towards increasing student diversity, particularly with respect to Hispanic students.  In 2010-11, Hispanics accounted for 33.6% of unduplicated enrollment (2,925 students).  By the 2014-15 academic </w:t>
      </w:r>
      <w:proofErr w:type="gramStart"/>
      <w:r>
        <w:t>year</w:t>
      </w:r>
      <w:proofErr w:type="gramEnd"/>
      <w:r>
        <w:t>, Hispanics accounted for 44% of unduplicated enrollment (3,537 students).   In 2015, Hispanics accounted for 54.92% of the service area population (543,442 persons) and by the year 2025 Hispanics are expected to make-up 56.79% of the ser</w:t>
      </w:r>
      <w:r w:rsidR="000C3D61">
        <w:t>vice area population (594,718 p</w:t>
      </w:r>
      <w:r>
        <w:t>ersons).</w:t>
      </w:r>
      <w:r w:rsidR="000C3D61">
        <w:t xml:space="preserve">  Additionally, Asians are the second most growing population within the service area with an increase of 8,463 persons expected between 2015 and 2025 (14.83% growth).  The College has an opportunity to continue increasing student diversity, particularly with respect to Hispanic and Asian students.</w:t>
      </w:r>
      <w:r>
        <w:t xml:space="preserve"> </w:t>
      </w:r>
    </w:p>
    <w:p w:rsidR="000A60F1" w:rsidRDefault="000A60F1" w:rsidP="009257A5">
      <w:pPr>
        <w:pStyle w:val="NoSpacing"/>
      </w:pPr>
    </w:p>
    <w:p w:rsidR="00C2691C" w:rsidRDefault="00CB088D" w:rsidP="009257A5">
      <w:pPr>
        <w:pStyle w:val="NoSpacing"/>
      </w:pPr>
      <w:r w:rsidRPr="004E45C2">
        <w:t xml:space="preserve">During the fall 2014 term CHC enrolled 181 first-time college students from Yucaipa High School.  During the 2013-14 academic year Yucaipa High School produced 559 graduates.  </w:t>
      </w:r>
      <w:r w:rsidR="004E45C2" w:rsidRPr="004E45C2">
        <w:t xml:space="preserve">It is reasonable to expect </w:t>
      </w:r>
      <w:r w:rsidR="004E45C2">
        <w:t>that some of the</w:t>
      </w:r>
      <w:r w:rsidR="004E45C2" w:rsidRPr="004E45C2">
        <w:t xml:space="preserve"> fall 2014 </w:t>
      </w:r>
      <w:r w:rsidR="004E45C2">
        <w:t>enrollment</w:t>
      </w:r>
      <w:r w:rsidR="004E45C2" w:rsidRPr="004E45C2">
        <w:t xml:space="preserve"> from Yucaipa High School graduates were not from the high school class of 2013-14. However, a</w:t>
      </w:r>
      <w:r w:rsidRPr="004E45C2">
        <w:t xml:space="preserve">ssuming that a </w:t>
      </w:r>
      <w:r w:rsidR="004E45C2">
        <w:t xml:space="preserve">great </w:t>
      </w:r>
      <w:r w:rsidRPr="004E45C2">
        <w:t>majority of those enrolled at CHC from Yucaipa High School in fall 2014 were from the high school class of 2013-14, then approximately 32.4% of Yucaipa High School graduates enrolled at CHC.</w:t>
      </w:r>
      <w:r w:rsidR="00152425">
        <w:t xml:space="preserve">  During the fall 2014 term CHC captured approximately 20% of 2013-14 graduates from Redlands East Valley, Citrus Valley and Redlands Senior high schools.  The College captured less than 12% of graduates from Beaumont Senior, San Gorgonio, Green Valley, Orangewood Continuation, and Rim of the World Senior high schools.  </w:t>
      </w:r>
      <w:r w:rsidR="004E45C2">
        <w:t>The College has an opportunity to capture a larger proportion of feeder high school graduates.</w:t>
      </w:r>
    </w:p>
    <w:p w:rsidR="004E45C2" w:rsidRDefault="004E45C2" w:rsidP="009257A5">
      <w:pPr>
        <w:pStyle w:val="NoSpacing"/>
      </w:pPr>
    </w:p>
    <w:p w:rsidR="000A60F1" w:rsidRDefault="00FC5D85" w:rsidP="000A60F1">
      <w:pPr>
        <w:pStyle w:val="NoSpacing"/>
      </w:pPr>
      <w:r>
        <w:t xml:space="preserve">During the fall 2014 term CHC produced </w:t>
      </w:r>
      <w:r w:rsidR="00136E16">
        <w:t xml:space="preserve">8,900 WSCH from English courses, however, 3,428 WSCH was attributable to below college level English (38.5% of total English WSCH).  Reading courses accounted for 1,396 WSCH of which 100% are considered below college level courses.  Combined, English and </w:t>
      </w:r>
      <w:r w:rsidR="005619E8">
        <w:t>r</w:t>
      </w:r>
      <w:r w:rsidR="00136E16">
        <w:t xml:space="preserve">eading accounted for 10,296 WSCH during fall 2014, of which 4,824 WSCH (47%) was attributable to below college level courses.  During the fall 2014 term CHC produced 9,964 WSCH from </w:t>
      </w:r>
      <w:r w:rsidR="005619E8">
        <w:t>m</w:t>
      </w:r>
      <w:r w:rsidR="00136E16">
        <w:t xml:space="preserve">athematics courses, however 6,359 WSCH was generated from below college level math (64% of total </w:t>
      </w:r>
      <w:r w:rsidR="005619E8">
        <w:t>m</w:t>
      </w:r>
      <w:r w:rsidR="00136E16">
        <w:t xml:space="preserve">athematics WSCH).  </w:t>
      </w:r>
      <w:r w:rsidR="00136E16">
        <w:lastRenderedPageBreak/>
        <w:t>The high demand for</w:t>
      </w:r>
      <w:r w:rsidR="005619E8">
        <w:t xml:space="preserve"> below college level courses, particularly for mathematics, is also supported by CAASPP scores for students within the top feeder high schools.  The average percentage of students from the top ten feeder high schools (fall 2014) that tested below standards in English was 49%</w:t>
      </w:r>
      <w:r w:rsidR="000A60F1">
        <w:t>, while 78% tested below standards in mathematics.  The College has an opportunity to address needs of unprepared/underprepared students, particularly in mathematics.</w:t>
      </w:r>
    </w:p>
    <w:p w:rsidR="000A60F1" w:rsidRDefault="000A60F1" w:rsidP="000A60F1">
      <w:pPr>
        <w:pStyle w:val="NoSpacing"/>
      </w:pPr>
    </w:p>
    <w:p w:rsidR="00AD1889" w:rsidRPr="001A17B8" w:rsidRDefault="00136838" w:rsidP="001A17B8">
      <w:pPr>
        <w:jc w:val="both"/>
        <w:rPr>
          <w:rFonts w:asciiTheme="minorHAnsi" w:hAnsiTheme="minorHAnsi"/>
          <w:sz w:val="24"/>
        </w:rPr>
      </w:pPr>
      <w:r w:rsidRPr="001A17B8">
        <w:rPr>
          <w:rFonts w:asciiTheme="minorHAnsi" w:eastAsia="Arial" w:hAnsiTheme="minorHAnsi" w:cs="Arial"/>
          <w:b/>
          <w:sz w:val="24"/>
        </w:rPr>
        <w:t>SWOT Analysis</w:t>
      </w:r>
      <w:r w:rsidR="001A17B8" w:rsidRPr="001A17B8">
        <w:rPr>
          <w:rFonts w:asciiTheme="minorHAnsi" w:eastAsia="Arial" w:hAnsiTheme="minorHAnsi" w:cs="Arial"/>
          <w:b/>
          <w:sz w:val="24"/>
        </w:rPr>
        <w:t xml:space="preserve"> </w:t>
      </w:r>
    </w:p>
    <w:p w:rsidR="00AD1889" w:rsidRPr="001A17B8" w:rsidRDefault="00136838" w:rsidP="001A17B8">
      <w:pPr>
        <w:spacing w:after="0"/>
        <w:rPr>
          <w:rFonts w:asciiTheme="minorHAnsi" w:hAnsiTheme="minorHAnsi"/>
          <w:sz w:val="24"/>
        </w:rPr>
      </w:pPr>
      <w:r w:rsidRPr="001A17B8">
        <w:rPr>
          <w:rFonts w:asciiTheme="minorHAnsi" w:hAnsiTheme="minorHAnsi"/>
          <w:b/>
          <w:sz w:val="24"/>
        </w:rPr>
        <w:t>STRENGTHS:</w:t>
      </w:r>
    </w:p>
    <w:p w:rsidR="00AD1889" w:rsidRPr="001A17B8" w:rsidRDefault="00136838" w:rsidP="00E30CA3">
      <w:pPr>
        <w:pStyle w:val="ListParagraph"/>
        <w:numPr>
          <w:ilvl w:val="0"/>
          <w:numId w:val="15"/>
        </w:numPr>
        <w:rPr>
          <w:rFonts w:asciiTheme="minorHAnsi" w:hAnsiTheme="minorHAnsi"/>
          <w:sz w:val="24"/>
        </w:rPr>
      </w:pPr>
      <w:r w:rsidRPr="001A17B8">
        <w:rPr>
          <w:rFonts w:asciiTheme="minorHAnsi" w:hAnsiTheme="minorHAnsi"/>
          <w:sz w:val="24"/>
        </w:rPr>
        <w:t xml:space="preserve">Spirit of innovation </w:t>
      </w:r>
    </w:p>
    <w:p w:rsidR="00AD1889" w:rsidRPr="001A17B8" w:rsidRDefault="001A17B8" w:rsidP="00E30CA3">
      <w:pPr>
        <w:pStyle w:val="ListParagraph"/>
        <w:numPr>
          <w:ilvl w:val="0"/>
          <w:numId w:val="15"/>
        </w:numPr>
        <w:rPr>
          <w:rFonts w:asciiTheme="minorHAnsi" w:hAnsiTheme="minorHAnsi"/>
          <w:sz w:val="24"/>
        </w:rPr>
      </w:pPr>
      <w:r>
        <w:rPr>
          <w:rFonts w:asciiTheme="minorHAnsi" w:hAnsiTheme="minorHAnsi"/>
          <w:sz w:val="24"/>
        </w:rPr>
        <w:t>A dedication to and f</w:t>
      </w:r>
      <w:r w:rsidR="00136838" w:rsidRPr="001A17B8">
        <w:rPr>
          <w:rFonts w:asciiTheme="minorHAnsi" w:hAnsiTheme="minorHAnsi"/>
          <w:sz w:val="24"/>
        </w:rPr>
        <w:t xml:space="preserve">ocus on students </w:t>
      </w:r>
    </w:p>
    <w:p w:rsidR="00AD1889" w:rsidRPr="001A17B8" w:rsidRDefault="00136838" w:rsidP="00E30CA3">
      <w:pPr>
        <w:pStyle w:val="ListParagraph"/>
        <w:numPr>
          <w:ilvl w:val="0"/>
          <w:numId w:val="15"/>
        </w:numPr>
        <w:rPr>
          <w:rFonts w:asciiTheme="minorHAnsi" w:hAnsiTheme="minorHAnsi"/>
          <w:sz w:val="24"/>
        </w:rPr>
      </w:pPr>
      <w:r w:rsidRPr="001A17B8">
        <w:rPr>
          <w:rFonts w:asciiTheme="minorHAnsi" w:hAnsiTheme="minorHAnsi"/>
          <w:sz w:val="24"/>
        </w:rPr>
        <w:t xml:space="preserve">Culture of evidence </w:t>
      </w:r>
      <w:r w:rsidR="00F84EDE">
        <w:rPr>
          <w:rFonts w:asciiTheme="minorHAnsi" w:hAnsiTheme="minorHAnsi"/>
          <w:sz w:val="24"/>
        </w:rPr>
        <w:t>and reliable data</w:t>
      </w:r>
    </w:p>
    <w:p w:rsidR="00AD1889" w:rsidRPr="001A17B8" w:rsidRDefault="00136838" w:rsidP="00E30CA3">
      <w:pPr>
        <w:pStyle w:val="ListParagraph"/>
        <w:numPr>
          <w:ilvl w:val="0"/>
          <w:numId w:val="15"/>
        </w:numPr>
        <w:rPr>
          <w:rFonts w:asciiTheme="minorHAnsi" w:hAnsiTheme="minorHAnsi"/>
          <w:sz w:val="24"/>
        </w:rPr>
      </w:pPr>
      <w:r w:rsidRPr="001A17B8">
        <w:rPr>
          <w:rFonts w:asciiTheme="minorHAnsi" w:hAnsiTheme="minorHAnsi"/>
          <w:sz w:val="24"/>
        </w:rPr>
        <w:t>New Facilities (we have the additional capacity we need to grow)</w:t>
      </w:r>
    </w:p>
    <w:p w:rsidR="00AD1889" w:rsidRPr="001A17B8" w:rsidRDefault="00136838" w:rsidP="00E30CA3">
      <w:pPr>
        <w:pStyle w:val="ListParagraph"/>
        <w:numPr>
          <w:ilvl w:val="0"/>
          <w:numId w:val="15"/>
        </w:numPr>
        <w:rPr>
          <w:rFonts w:asciiTheme="minorHAnsi" w:hAnsiTheme="minorHAnsi"/>
          <w:sz w:val="24"/>
        </w:rPr>
      </w:pPr>
      <w:r w:rsidRPr="001A17B8">
        <w:rPr>
          <w:rFonts w:asciiTheme="minorHAnsi" w:hAnsiTheme="minorHAnsi"/>
          <w:sz w:val="24"/>
        </w:rPr>
        <w:t>Course success and program completion rates</w:t>
      </w:r>
    </w:p>
    <w:p w:rsidR="00AD1889" w:rsidRDefault="00136838" w:rsidP="00E30CA3">
      <w:pPr>
        <w:pStyle w:val="ListParagraph"/>
        <w:numPr>
          <w:ilvl w:val="0"/>
          <w:numId w:val="15"/>
        </w:numPr>
        <w:rPr>
          <w:rFonts w:asciiTheme="minorHAnsi" w:hAnsiTheme="minorHAnsi"/>
          <w:sz w:val="24"/>
        </w:rPr>
      </w:pPr>
      <w:r w:rsidRPr="001A17B8">
        <w:rPr>
          <w:rFonts w:asciiTheme="minorHAnsi" w:hAnsiTheme="minorHAnsi"/>
          <w:sz w:val="24"/>
        </w:rPr>
        <w:t>Collegial community</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Outstanding public safety and allied health programs</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Strong student support programs including DSPS, Transfer Center, Tutoring Center, Honors Institute, etc.</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 xml:space="preserve">Existing relationships with 4-year partners </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Great leadership for all constituencies</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Students like CHC</w:t>
      </w:r>
    </w:p>
    <w:p w:rsidR="00F84EDE" w:rsidRDefault="00F84EDE" w:rsidP="00E30CA3">
      <w:pPr>
        <w:pStyle w:val="ListParagraph"/>
        <w:numPr>
          <w:ilvl w:val="0"/>
          <w:numId w:val="15"/>
        </w:numPr>
        <w:rPr>
          <w:rFonts w:asciiTheme="minorHAnsi" w:hAnsiTheme="minorHAnsi"/>
          <w:sz w:val="24"/>
        </w:rPr>
      </w:pPr>
      <w:r>
        <w:rPr>
          <w:rFonts w:asciiTheme="minorHAnsi" w:hAnsiTheme="minorHAnsi"/>
          <w:sz w:val="24"/>
        </w:rPr>
        <w:t>Beautiful campus with a park-like setting</w:t>
      </w:r>
    </w:p>
    <w:p w:rsidR="00F84EDE" w:rsidRPr="001A17B8" w:rsidRDefault="00F84EDE" w:rsidP="00E30CA3">
      <w:pPr>
        <w:pStyle w:val="ListParagraph"/>
        <w:numPr>
          <w:ilvl w:val="0"/>
          <w:numId w:val="15"/>
        </w:numPr>
        <w:rPr>
          <w:rFonts w:asciiTheme="minorHAnsi" w:hAnsiTheme="minorHAnsi"/>
          <w:sz w:val="24"/>
        </w:rPr>
      </w:pPr>
      <w:r>
        <w:rPr>
          <w:rFonts w:asciiTheme="minorHAnsi" w:hAnsiTheme="minorHAnsi"/>
          <w:sz w:val="24"/>
        </w:rPr>
        <w:t>Safe, quiet, inviting campus</w:t>
      </w:r>
    </w:p>
    <w:p w:rsidR="00AD1889" w:rsidRPr="001A17B8" w:rsidRDefault="00136838" w:rsidP="001A17B8">
      <w:pPr>
        <w:spacing w:after="0"/>
        <w:rPr>
          <w:rFonts w:asciiTheme="minorHAnsi" w:hAnsiTheme="minorHAnsi"/>
          <w:sz w:val="24"/>
        </w:rPr>
      </w:pPr>
      <w:r w:rsidRPr="001A17B8">
        <w:rPr>
          <w:rFonts w:asciiTheme="minorHAnsi" w:hAnsiTheme="minorHAnsi"/>
          <w:b/>
          <w:sz w:val="24"/>
        </w:rPr>
        <w:t>OPPORTUNITIES:</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K-12 partnerships (e.g., dual enrollment, Middle College)</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International Student Program</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Adult Education</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Non-Credit Courses</w:t>
      </w:r>
      <w:r w:rsidR="001B5A84">
        <w:rPr>
          <w:rFonts w:asciiTheme="minorHAnsi" w:hAnsiTheme="minorHAnsi"/>
          <w:sz w:val="24"/>
        </w:rPr>
        <w:t xml:space="preserve"> including ESL</w:t>
      </w:r>
    </w:p>
    <w:p w:rsidR="00AD1889" w:rsidRDefault="00A305C1" w:rsidP="00E30CA3">
      <w:pPr>
        <w:pStyle w:val="ListParagraph"/>
        <w:numPr>
          <w:ilvl w:val="0"/>
          <w:numId w:val="16"/>
        </w:numPr>
        <w:rPr>
          <w:rFonts w:asciiTheme="minorHAnsi" w:hAnsiTheme="minorHAnsi"/>
          <w:sz w:val="24"/>
        </w:rPr>
      </w:pPr>
      <w:r>
        <w:rPr>
          <w:rFonts w:asciiTheme="minorHAnsi" w:hAnsiTheme="minorHAnsi"/>
          <w:sz w:val="24"/>
        </w:rPr>
        <w:t xml:space="preserve">College Village </w:t>
      </w:r>
    </w:p>
    <w:p w:rsidR="001B5A84" w:rsidRPr="001A17B8" w:rsidRDefault="001B5A84" w:rsidP="00E30CA3">
      <w:pPr>
        <w:pStyle w:val="ListParagraph"/>
        <w:numPr>
          <w:ilvl w:val="0"/>
          <w:numId w:val="16"/>
        </w:numPr>
        <w:rPr>
          <w:rFonts w:asciiTheme="minorHAnsi" w:hAnsiTheme="minorHAnsi"/>
          <w:sz w:val="24"/>
        </w:rPr>
      </w:pPr>
      <w:r>
        <w:rPr>
          <w:rFonts w:asciiTheme="minorHAnsi" w:hAnsiTheme="minorHAnsi"/>
          <w:sz w:val="24"/>
        </w:rPr>
        <w:t>City Partnerships</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Regional Fire Training Center</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Grant Funding</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Foundation Support</w:t>
      </w:r>
    </w:p>
    <w:p w:rsidR="00AD1889" w:rsidRPr="001A17B8" w:rsidRDefault="00FB6DA3" w:rsidP="00E30CA3">
      <w:pPr>
        <w:pStyle w:val="ListParagraph"/>
        <w:numPr>
          <w:ilvl w:val="0"/>
          <w:numId w:val="16"/>
        </w:numPr>
        <w:rPr>
          <w:rFonts w:asciiTheme="minorHAnsi" w:hAnsiTheme="minorHAnsi"/>
          <w:sz w:val="24"/>
        </w:rPr>
      </w:pPr>
      <w:r>
        <w:rPr>
          <w:rFonts w:asciiTheme="minorHAnsi" w:hAnsiTheme="minorHAnsi"/>
          <w:sz w:val="24"/>
        </w:rPr>
        <w:t>State</w:t>
      </w:r>
      <w:r w:rsidR="00136838" w:rsidRPr="001A17B8">
        <w:rPr>
          <w:rFonts w:asciiTheme="minorHAnsi" w:hAnsiTheme="minorHAnsi"/>
          <w:sz w:val="24"/>
        </w:rPr>
        <w:t>wide initiatives (e.g., OEI, CAI, OER) are bringing new resources and clarified standards</w:t>
      </w:r>
    </w:p>
    <w:p w:rsidR="00AD1889" w:rsidRPr="001A17B8"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Athletics programs can attract new students, especially from those demographics that have been previously underserved, and can create additional ties to those students to increase their retention and success rates</w:t>
      </w:r>
    </w:p>
    <w:p w:rsidR="00AD1889" w:rsidRDefault="00136838" w:rsidP="00E30CA3">
      <w:pPr>
        <w:pStyle w:val="ListParagraph"/>
        <w:numPr>
          <w:ilvl w:val="0"/>
          <w:numId w:val="16"/>
        </w:numPr>
        <w:rPr>
          <w:rFonts w:asciiTheme="minorHAnsi" w:hAnsiTheme="minorHAnsi"/>
          <w:sz w:val="24"/>
        </w:rPr>
      </w:pPr>
      <w:r w:rsidRPr="001A17B8">
        <w:rPr>
          <w:rFonts w:asciiTheme="minorHAnsi" w:hAnsiTheme="minorHAnsi"/>
          <w:sz w:val="24"/>
        </w:rPr>
        <w:t>Baccalaureate programs</w:t>
      </w:r>
    </w:p>
    <w:p w:rsidR="001B5A84" w:rsidRDefault="001B5A84" w:rsidP="00E30CA3">
      <w:pPr>
        <w:pStyle w:val="ListParagraph"/>
        <w:numPr>
          <w:ilvl w:val="0"/>
          <w:numId w:val="16"/>
        </w:numPr>
        <w:rPr>
          <w:rFonts w:asciiTheme="minorHAnsi" w:hAnsiTheme="minorHAnsi"/>
          <w:sz w:val="24"/>
        </w:rPr>
      </w:pPr>
      <w:r>
        <w:rPr>
          <w:rFonts w:asciiTheme="minorHAnsi" w:hAnsiTheme="minorHAnsi"/>
          <w:sz w:val="24"/>
        </w:rPr>
        <w:t>Increasing number of jobs that require certificates</w:t>
      </w:r>
    </w:p>
    <w:p w:rsidR="001B5A84" w:rsidRDefault="001B5A84" w:rsidP="00E30CA3">
      <w:pPr>
        <w:pStyle w:val="ListParagraph"/>
        <w:numPr>
          <w:ilvl w:val="0"/>
          <w:numId w:val="16"/>
        </w:numPr>
        <w:rPr>
          <w:rFonts w:asciiTheme="minorHAnsi" w:hAnsiTheme="minorHAnsi"/>
          <w:sz w:val="24"/>
        </w:rPr>
      </w:pPr>
      <w:r>
        <w:rPr>
          <w:rFonts w:asciiTheme="minorHAnsi" w:hAnsiTheme="minorHAnsi"/>
          <w:sz w:val="24"/>
        </w:rPr>
        <w:t>Large need for community colleges in the area</w:t>
      </w:r>
    </w:p>
    <w:p w:rsidR="001B5A84" w:rsidRPr="001A17B8" w:rsidRDefault="001B5A84" w:rsidP="00E30CA3">
      <w:pPr>
        <w:pStyle w:val="ListParagraph"/>
        <w:numPr>
          <w:ilvl w:val="0"/>
          <w:numId w:val="16"/>
        </w:numPr>
        <w:rPr>
          <w:rFonts w:asciiTheme="minorHAnsi" w:hAnsiTheme="minorHAnsi"/>
          <w:sz w:val="24"/>
        </w:rPr>
      </w:pPr>
      <w:r>
        <w:rPr>
          <w:rFonts w:asciiTheme="minorHAnsi" w:hAnsiTheme="minorHAnsi"/>
          <w:sz w:val="24"/>
        </w:rPr>
        <w:lastRenderedPageBreak/>
        <w:t>Some 4 year college students still need lower division coursework and could take those classes at CHC</w:t>
      </w:r>
    </w:p>
    <w:p w:rsidR="00AD1889" w:rsidRPr="001A17B8" w:rsidRDefault="00136838" w:rsidP="00E55B94">
      <w:pPr>
        <w:rPr>
          <w:rFonts w:asciiTheme="minorHAnsi" w:hAnsiTheme="minorHAnsi"/>
          <w:sz w:val="24"/>
        </w:rPr>
      </w:pPr>
      <w:r w:rsidRPr="001A17B8">
        <w:rPr>
          <w:rFonts w:asciiTheme="minorHAnsi" w:hAnsiTheme="minorHAnsi"/>
          <w:b/>
          <w:sz w:val="24"/>
        </w:rPr>
        <w:t>WEAKNESSES:</w:t>
      </w:r>
    </w:p>
    <w:p w:rsidR="00AD1889" w:rsidRDefault="00A305C1" w:rsidP="00E30CA3">
      <w:pPr>
        <w:pStyle w:val="ListParagraph"/>
        <w:numPr>
          <w:ilvl w:val="0"/>
          <w:numId w:val="17"/>
        </w:numPr>
        <w:rPr>
          <w:rFonts w:asciiTheme="minorHAnsi" w:hAnsiTheme="minorHAnsi"/>
          <w:sz w:val="24"/>
        </w:rPr>
      </w:pPr>
      <w:r w:rsidRPr="00A305C1">
        <w:rPr>
          <w:rFonts w:asciiTheme="minorHAnsi" w:hAnsiTheme="minorHAnsi"/>
          <w:sz w:val="24"/>
        </w:rPr>
        <w:t>T</w:t>
      </w:r>
      <w:r w:rsidR="00136838" w:rsidRPr="00A305C1">
        <w:rPr>
          <w:rFonts w:asciiTheme="minorHAnsi" w:hAnsiTheme="minorHAnsi"/>
          <w:sz w:val="24"/>
        </w:rPr>
        <w:t xml:space="preserve">urnover of senior administrators </w:t>
      </w:r>
    </w:p>
    <w:p w:rsidR="001B5A84" w:rsidRPr="00A305C1" w:rsidRDefault="001B5A84" w:rsidP="00E30CA3">
      <w:pPr>
        <w:pStyle w:val="ListParagraph"/>
        <w:numPr>
          <w:ilvl w:val="1"/>
          <w:numId w:val="17"/>
        </w:numPr>
        <w:rPr>
          <w:rFonts w:asciiTheme="minorHAnsi" w:hAnsiTheme="minorHAnsi"/>
          <w:sz w:val="24"/>
        </w:rPr>
      </w:pPr>
      <w:r>
        <w:rPr>
          <w:rFonts w:asciiTheme="minorHAnsi" w:hAnsiTheme="minorHAnsi"/>
          <w:sz w:val="24"/>
        </w:rPr>
        <w:t>Some morale issues due to uncertainty</w:t>
      </w:r>
    </w:p>
    <w:p w:rsidR="00AD1889" w:rsidRPr="00A305C1"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High turnover of full-time faculty (due to upcoming retirements)</w:t>
      </w:r>
    </w:p>
    <w:p w:rsidR="00AD1889" w:rsidRPr="00A305C1"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High turnover of part-time faculty (due to being hired for full-time positions elsewhere)</w:t>
      </w:r>
    </w:p>
    <w:p w:rsidR="00AD1889" w:rsidRPr="00A305C1"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The low proportion of full-time faculty (compared to adjunct) reduces our ability to expand programs</w:t>
      </w:r>
    </w:p>
    <w:p w:rsidR="00AD1889"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Small departments and “orphan disciplines” (without any full-time faculty) are widespread (e.g., anthropology)</w:t>
      </w:r>
    </w:p>
    <w:p w:rsidR="00F84EDE" w:rsidRPr="00A305C1" w:rsidRDefault="00F84EDE" w:rsidP="00E30CA3">
      <w:pPr>
        <w:pStyle w:val="ListParagraph"/>
        <w:numPr>
          <w:ilvl w:val="0"/>
          <w:numId w:val="17"/>
        </w:numPr>
        <w:rPr>
          <w:rFonts w:asciiTheme="minorHAnsi" w:hAnsiTheme="minorHAnsi"/>
          <w:sz w:val="24"/>
        </w:rPr>
      </w:pPr>
      <w:r>
        <w:rPr>
          <w:rFonts w:asciiTheme="minorHAnsi" w:hAnsiTheme="minorHAnsi"/>
          <w:sz w:val="24"/>
        </w:rPr>
        <w:t>Too few faculty serving on too many committees resulting in burnout</w:t>
      </w:r>
    </w:p>
    <w:p w:rsidR="00AD1889" w:rsidRPr="00A305C1"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GF Budget (not sufficient to sustain new expansion of facilities)</w:t>
      </w:r>
    </w:p>
    <w:p w:rsidR="00A305C1"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 xml:space="preserve">Bureaucracy </w:t>
      </w:r>
    </w:p>
    <w:p w:rsidR="00AD1889"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Most students are not completely college ready, lacking adequate college level skills in at least one area (</w:t>
      </w:r>
      <w:proofErr w:type="spellStart"/>
      <w:r w:rsidRPr="00A305C1">
        <w:rPr>
          <w:rFonts w:asciiTheme="minorHAnsi" w:hAnsiTheme="minorHAnsi"/>
          <w:sz w:val="24"/>
        </w:rPr>
        <w:t>e.g</w:t>
      </w:r>
      <w:proofErr w:type="spellEnd"/>
      <w:r w:rsidRPr="00A305C1">
        <w:rPr>
          <w:rFonts w:asciiTheme="minorHAnsi" w:hAnsiTheme="minorHAnsi"/>
          <w:sz w:val="24"/>
        </w:rPr>
        <w:t>, English, reading, math)</w:t>
      </w:r>
    </w:p>
    <w:p w:rsidR="00F84EDE" w:rsidRPr="00A305C1" w:rsidRDefault="00F84EDE" w:rsidP="00E30CA3">
      <w:pPr>
        <w:pStyle w:val="ListParagraph"/>
        <w:numPr>
          <w:ilvl w:val="1"/>
          <w:numId w:val="17"/>
        </w:numPr>
        <w:rPr>
          <w:rFonts w:asciiTheme="minorHAnsi" w:hAnsiTheme="minorHAnsi"/>
          <w:sz w:val="24"/>
        </w:rPr>
      </w:pPr>
      <w:r>
        <w:rPr>
          <w:rFonts w:asciiTheme="minorHAnsi" w:hAnsiTheme="minorHAnsi"/>
          <w:sz w:val="24"/>
        </w:rPr>
        <w:t>Students who enroll in math and English first receive a good foundation, but they may find it difficult to get excited about new courses and programs</w:t>
      </w:r>
    </w:p>
    <w:p w:rsidR="00AD1889" w:rsidRDefault="00136838" w:rsidP="00E30CA3">
      <w:pPr>
        <w:pStyle w:val="ListParagraph"/>
        <w:numPr>
          <w:ilvl w:val="0"/>
          <w:numId w:val="17"/>
        </w:numPr>
        <w:rPr>
          <w:rFonts w:asciiTheme="minorHAnsi" w:hAnsiTheme="minorHAnsi"/>
          <w:sz w:val="24"/>
        </w:rPr>
      </w:pPr>
      <w:r w:rsidRPr="00A305C1">
        <w:rPr>
          <w:rFonts w:asciiTheme="minorHAnsi" w:hAnsiTheme="minorHAnsi"/>
          <w:sz w:val="24"/>
        </w:rPr>
        <w:t>Disproportionate impact on student groups as identified in the Equity Plan</w:t>
      </w:r>
    </w:p>
    <w:p w:rsidR="00F84EDE" w:rsidRDefault="00F84EDE" w:rsidP="00E30CA3">
      <w:pPr>
        <w:pStyle w:val="ListParagraph"/>
        <w:numPr>
          <w:ilvl w:val="0"/>
          <w:numId w:val="17"/>
        </w:numPr>
        <w:rPr>
          <w:rFonts w:asciiTheme="minorHAnsi" w:hAnsiTheme="minorHAnsi"/>
          <w:sz w:val="24"/>
        </w:rPr>
      </w:pPr>
      <w:r>
        <w:rPr>
          <w:rFonts w:asciiTheme="minorHAnsi" w:hAnsiTheme="minorHAnsi"/>
          <w:sz w:val="24"/>
        </w:rPr>
        <w:t>Weak integrated planning between district office and campus with competition for resources</w:t>
      </w:r>
    </w:p>
    <w:p w:rsidR="001B5A84" w:rsidRDefault="001B5A84" w:rsidP="00E30CA3">
      <w:pPr>
        <w:pStyle w:val="ListParagraph"/>
        <w:numPr>
          <w:ilvl w:val="0"/>
          <w:numId w:val="17"/>
        </w:numPr>
        <w:rPr>
          <w:rFonts w:asciiTheme="minorHAnsi" w:hAnsiTheme="minorHAnsi"/>
          <w:sz w:val="24"/>
        </w:rPr>
      </w:pPr>
      <w:r>
        <w:rPr>
          <w:rFonts w:asciiTheme="minorHAnsi" w:hAnsiTheme="minorHAnsi"/>
          <w:sz w:val="24"/>
        </w:rPr>
        <w:t>Follow up with students who drop out is needed to determine causes</w:t>
      </w:r>
    </w:p>
    <w:p w:rsidR="001B5A84" w:rsidRDefault="001B5A84" w:rsidP="00E30CA3">
      <w:pPr>
        <w:pStyle w:val="ListParagraph"/>
        <w:numPr>
          <w:ilvl w:val="0"/>
          <w:numId w:val="17"/>
        </w:numPr>
        <w:rPr>
          <w:rFonts w:asciiTheme="minorHAnsi" w:hAnsiTheme="minorHAnsi"/>
          <w:sz w:val="24"/>
        </w:rPr>
      </w:pPr>
      <w:r>
        <w:rPr>
          <w:rFonts w:asciiTheme="minorHAnsi" w:hAnsiTheme="minorHAnsi"/>
          <w:sz w:val="24"/>
        </w:rPr>
        <w:t>More office space for adjuncts is needed and ability to hold office hours</w:t>
      </w:r>
    </w:p>
    <w:p w:rsidR="001B5A84" w:rsidRPr="00A305C1" w:rsidRDefault="001B5A84" w:rsidP="00E30CA3">
      <w:pPr>
        <w:pStyle w:val="ListParagraph"/>
        <w:numPr>
          <w:ilvl w:val="0"/>
          <w:numId w:val="17"/>
        </w:numPr>
        <w:rPr>
          <w:rFonts w:asciiTheme="minorHAnsi" w:hAnsiTheme="minorHAnsi"/>
          <w:sz w:val="24"/>
        </w:rPr>
      </w:pPr>
    </w:p>
    <w:p w:rsidR="00AD1889" w:rsidRPr="001A17B8" w:rsidRDefault="00136838">
      <w:pPr>
        <w:rPr>
          <w:rFonts w:asciiTheme="minorHAnsi" w:hAnsiTheme="minorHAnsi"/>
          <w:sz w:val="24"/>
        </w:rPr>
      </w:pPr>
      <w:r w:rsidRPr="001A17B8">
        <w:rPr>
          <w:rFonts w:asciiTheme="minorHAnsi" w:hAnsiTheme="minorHAnsi"/>
          <w:b/>
          <w:sz w:val="24"/>
        </w:rPr>
        <w:t>THREATS:</w:t>
      </w:r>
    </w:p>
    <w:p w:rsidR="00AD1889" w:rsidRPr="00A305C1" w:rsidRDefault="00136838" w:rsidP="00E30CA3">
      <w:pPr>
        <w:pStyle w:val="ListParagraph"/>
        <w:numPr>
          <w:ilvl w:val="0"/>
          <w:numId w:val="18"/>
        </w:numPr>
        <w:rPr>
          <w:rFonts w:asciiTheme="minorHAnsi" w:hAnsiTheme="minorHAnsi"/>
          <w:sz w:val="24"/>
        </w:rPr>
      </w:pPr>
      <w:r w:rsidRPr="00A305C1">
        <w:rPr>
          <w:rFonts w:asciiTheme="minorHAnsi" w:hAnsiTheme="minorHAnsi"/>
          <w:sz w:val="24"/>
        </w:rPr>
        <w:t>Unclear relationship with regional accrediting agency (e.g., sanction from ACCJC)</w:t>
      </w:r>
    </w:p>
    <w:p w:rsidR="00AD1889" w:rsidRPr="00A305C1" w:rsidRDefault="00FB6DA3" w:rsidP="00E30CA3">
      <w:pPr>
        <w:pStyle w:val="ListParagraph"/>
        <w:numPr>
          <w:ilvl w:val="0"/>
          <w:numId w:val="18"/>
        </w:numPr>
        <w:rPr>
          <w:rFonts w:asciiTheme="minorHAnsi" w:hAnsiTheme="minorHAnsi"/>
          <w:sz w:val="24"/>
        </w:rPr>
      </w:pPr>
      <w:r>
        <w:rPr>
          <w:rFonts w:asciiTheme="minorHAnsi" w:hAnsiTheme="minorHAnsi"/>
          <w:sz w:val="24"/>
        </w:rPr>
        <w:t>State</w:t>
      </w:r>
      <w:r w:rsidR="00136838" w:rsidRPr="00A305C1">
        <w:rPr>
          <w:rFonts w:asciiTheme="minorHAnsi" w:hAnsiTheme="minorHAnsi"/>
          <w:sz w:val="24"/>
        </w:rPr>
        <w:t xml:space="preserve"> budget fluctuations</w:t>
      </w:r>
    </w:p>
    <w:p w:rsidR="00AD1889" w:rsidRDefault="00136838" w:rsidP="00E30CA3">
      <w:pPr>
        <w:pStyle w:val="ListParagraph"/>
        <w:numPr>
          <w:ilvl w:val="0"/>
          <w:numId w:val="18"/>
        </w:numPr>
        <w:rPr>
          <w:rFonts w:asciiTheme="minorHAnsi" w:hAnsiTheme="minorHAnsi"/>
          <w:sz w:val="24"/>
        </w:rPr>
      </w:pPr>
      <w:r w:rsidRPr="00A305C1">
        <w:rPr>
          <w:rFonts w:asciiTheme="minorHAnsi" w:hAnsiTheme="minorHAnsi"/>
          <w:sz w:val="24"/>
        </w:rPr>
        <w:t>Competition from neighboring, private and for-profit colleges</w:t>
      </w:r>
    </w:p>
    <w:p w:rsidR="00881F56" w:rsidRDefault="00881F56" w:rsidP="00E30CA3">
      <w:pPr>
        <w:pStyle w:val="ListParagraph"/>
        <w:numPr>
          <w:ilvl w:val="0"/>
          <w:numId w:val="18"/>
        </w:numPr>
        <w:rPr>
          <w:rFonts w:asciiTheme="minorHAnsi" w:hAnsiTheme="minorHAnsi"/>
          <w:sz w:val="24"/>
        </w:rPr>
      </w:pPr>
      <w:r>
        <w:rPr>
          <w:rFonts w:asciiTheme="minorHAnsi" w:hAnsiTheme="minorHAnsi"/>
          <w:sz w:val="24"/>
        </w:rPr>
        <w:t xml:space="preserve">Increasing number of </w:t>
      </w:r>
      <w:r w:rsidR="00FB6DA3">
        <w:rPr>
          <w:rFonts w:asciiTheme="minorHAnsi" w:hAnsiTheme="minorHAnsi"/>
          <w:sz w:val="24"/>
        </w:rPr>
        <w:t>State</w:t>
      </w:r>
      <w:r>
        <w:rPr>
          <w:rFonts w:asciiTheme="minorHAnsi" w:hAnsiTheme="minorHAnsi"/>
          <w:sz w:val="24"/>
        </w:rPr>
        <w:t xml:space="preserve"> mandates and control over classes and programs</w:t>
      </w:r>
    </w:p>
    <w:p w:rsidR="00881F56" w:rsidRDefault="00881F56" w:rsidP="00E30CA3">
      <w:pPr>
        <w:pStyle w:val="ListParagraph"/>
        <w:numPr>
          <w:ilvl w:val="0"/>
          <w:numId w:val="18"/>
        </w:numPr>
        <w:rPr>
          <w:rFonts w:asciiTheme="minorHAnsi" w:hAnsiTheme="minorHAnsi"/>
          <w:sz w:val="24"/>
        </w:rPr>
      </w:pPr>
      <w:r>
        <w:rPr>
          <w:rFonts w:asciiTheme="minorHAnsi" w:hAnsiTheme="minorHAnsi"/>
          <w:sz w:val="24"/>
        </w:rPr>
        <w:t>Decreasing enrollment due to economic upturn and job availability</w:t>
      </w:r>
    </w:p>
    <w:p w:rsidR="00694BCD" w:rsidRDefault="00694BCD" w:rsidP="00694BCD">
      <w:pPr>
        <w:pStyle w:val="ListParagraph"/>
        <w:rPr>
          <w:rFonts w:asciiTheme="minorHAnsi" w:hAnsiTheme="minorHAnsi"/>
          <w:sz w:val="24"/>
        </w:rPr>
      </w:pPr>
    </w:p>
    <w:p w:rsidR="00694BCD" w:rsidRDefault="00694BCD" w:rsidP="00694BCD">
      <w:pPr>
        <w:pStyle w:val="ListParagraph"/>
        <w:rPr>
          <w:rFonts w:asciiTheme="minorHAnsi" w:hAnsiTheme="minorHAnsi"/>
          <w:sz w:val="24"/>
        </w:rPr>
      </w:pPr>
    </w:p>
    <w:p w:rsidR="00694BCD" w:rsidRDefault="00694BCD" w:rsidP="00694BCD">
      <w:pPr>
        <w:pStyle w:val="ListParagraph"/>
        <w:rPr>
          <w:rFonts w:asciiTheme="minorHAnsi" w:hAnsiTheme="minorHAnsi"/>
          <w:sz w:val="24"/>
        </w:rPr>
      </w:pPr>
    </w:p>
    <w:p w:rsidR="00694BCD" w:rsidRDefault="00694BCD" w:rsidP="00694BCD">
      <w:pPr>
        <w:pStyle w:val="ListParagraph"/>
        <w:rPr>
          <w:rFonts w:asciiTheme="minorHAnsi" w:hAnsiTheme="minorHAnsi"/>
          <w:sz w:val="24"/>
        </w:rPr>
      </w:pPr>
    </w:p>
    <w:p w:rsidR="00694BCD" w:rsidRDefault="00694BCD" w:rsidP="00694BCD">
      <w:pPr>
        <w:pStyle w:val="ListParagraph"/>
        <w:rPr>
          <w:rFonts w:asciiTheme="minorHAnsi" w:hAnsiTheme="minorHAnsi"/>
          <w:sz w:val="24"/>
        </w:rPr>
      </w:pPr>
    </w:p>
    <w:p w:rsidR="00694BCD" w:rsidRPr="00721F6D" w:rsidRDefault="00694BCD" w:rsidP="00721F6D">
      <w:pPr>
        <w:rPr>
          <w:rFonts w:asciiTheme="minorHAnsi" w:hAnsiTheme="minorHAnsi"/>
          <w:sz w:val="24"/>
        </w:rPr>
      </w:pPr>
    </w:p>
    <w:p w:rsidR="00694BCD" w:rsidRPr="00A305C1" w:rsidRDefault="00694BCD" w:rsidP="00694BCD">
      <w:pPr>
        <w:pStyle w:val="ListParagraph"/>
        <w:rPr>
          <w:rFonts w:asciiTheme="minorHAnsi" w:hAnsiTheme="minorHAnsi"/>
          <w:sz w:val="24"/>
        </w:rPr>
      </w:pPr>
    </w:p>
    <w:p w:rsidR="00AD1889" w:rsidRDefault="00136838" w:rsidP="00A816B4">
      <w:pPr>
        <w:pStyle w:val="Heading1"/>
        <w:numPr>
          <w:ilvl w:val="0"/>
          <w:numId w:val="2"/>
        </w:numPr>
      </w:pPr>
      <w:bookmarkStart w:id="5" w:name="h.tyjcwt" w:colFirst="0" w:colLast="0"/>
      <w:bookmarkEnd w:id="5"/>
      <w:r>
        <w:lastRenderedPageBreak/>
        <w:t>College Snapshot</w:t>
      </w:r>
    </w:p>
    <w:p w:rsidR="00AD1889" w:rsidRPr="00A305C1" w:rsidRDefault="00136838">
      <w:pPr>
        <w:rPr>
          <w:rFonts w:asciiTheme="minorHAnsi" w:hAnsiTheme="minorHAnsi"/>
          <w:i/>
          <w:color w:val="0070C0"/>
          <w:sz w:val="24"/>
          <w:szCs w:val="24"/>
        </w:rPr>
      </w:pPr>
      <w:r w:rsidRPr="00A305C1">
        <w:rPr>
          <w:rFonts w:asciiTheme="minorHAnsi" w:hAnsiTheme="minorHAnsi"/>
          <w:i/>
          <w:color w:val="0070C0"/>
          <w:sz w:val="24"/>
          <w:szCs w:val="24"/>
        </w:rPr>
        <w:t>This section outlines and briefly describes the culture at Crafton Hills College; the instructional, student services, and administrative services departments; delivery of services; staffing information; and space utilization.</w:t>
      </w:r>
    </w:p>
    <w:p w:rsidR="00AD1889" w:rsidRPr="00A305C1" w:rsidRDefault="00136838">
      <w:pPr>
        <w:rPr>
          <w:rFonts w:asciiTheme="minorHAnsi" w:hAnsiTheme="minorHAnsi"/>
          <w:sz w:val="24"/>
          <w:szCs w:val="24"/>
        </w:rPr>
      </w:pPr>
      <w:r w:rsidRPr="00A305C1">
        <w:rPr>
          <w:rFonts w:asciiTheme="minorHAnsi" w:eastAsia="Arial" w:hAnsiTheme="minorHAnsi" w:cs="Arial"/>
          <w:b/>
          <w:sz w:val="24"/>
          <w:szCs w:val="24"/>
        </w:rPr>
        <w:t>Overview of CHC</w:t>
      </w:r>
    </w:p>
    <w:p w:rsidR="00AD1889" w:rsidRPr="00A305C1" w:rsidRDefault="00136838">
      <w:pPr>
        <w:rPr>
          <w:rFonts w:asciiTheme="minorHAnsi" w:hAnsiTheme="minorHAnsi"/>
          <w:sz w:val="24"/>
          <w:szCs w:val="24"/>
        </w:rPr>
      </w:pPr>
      <w:r w:rsidRPr="00A305C1">
        <w:rPr>
          <w:rFonts w:asciiTheme="minorHAnsi" w:eastAsia="Arial" w:hAnsiTheme="minorHAnsi" w:cs="Arial"/>
          <w:sz w:val="24"/>
          <w:szCs w:val="24"/>
        </w:rPr>
        <w:t xml:space="preserve">Crafton Hills College was established in 1972 as one of two colleges in the San Bernardino Community College District.  The college currently serves nearly 8,000 students each year, many of whom attend part-time while working.  This translates to a full time equivalent number of approximately 4,600.  Twenty-one percent of students at CHC are the first in their family to attend college.  The college offers over 50 different programs and in 2014-2015, the college awarded over 900 degrees and certificates.  </w:t>
      </w:r>
    </w:p>
    <w:p w:rsidR="00AD1889" w:rsidRPr="00A305C1" w:rsidRDefault="00136838">
      <w:pPr>
        <w:rPr>
          <w:rFonts w:asciiTheme="minorHAnsi" w:hAnsiTheme="minorHAnsi"/>
          <w:sz w:val="24"/>
          <w:szCs w:val="24"/>
        </w:rPr>
      </w:pPr>
      <w:r w:rsidRPr="00A305C1">
        <w:rPr>
          <w:rFonts w:asciiTheme="minorHAnsi" w:eastAsia="Arial" w:hAnsiTheme="minorHAnsi" w:cs="Arial"/>
          <w:sz w:val="24"/>
          <w:szCs w:val="24"/>
        </w:rPr>
        <w:t>The college strives to give every student the opportunity to succeed providing research-based support services such as intensive tutoring and counseling, mentoring, and accelerated courses.  The recently expanded Honors Program, STEM Programs, and Transfer Center have contributed to a dramatic increase in the number of successful transfer students.  Work is currently underway to develop streamlined pathways from K-12 to CHC to 4-Year institutions and the workforce.  An athletics program is scheduled to begin in fall 2016 with golf and will grow to include swimming, water polo, and tennis.</w:t>
      </w:r>
    </w:p>
    <w:p w:rsidR="00AD1889" w:rsidRPr="00A305C1" w:rsidRDefault="00136838">
      <w:pPr>
        <w:rPr>
          <w:rFonts w:asciiTheme="minorHAnsi" w:hAnsiTheme="minorHAnsi"/>
          <w:sz w:val="24"/>
          <w:szCs w:val="24"/>
        </w:rPr>
      </w:pPr>
      <w:r w:rsidRPr="00A305C1">
        <w:rPr>
          <w:rFonts w:asciiTheme="minorHAnsi" w:eastAsia="Arial" w:hAnsiTheme="minorHAnsi" w:cs="Arial"/>
          <w:sz w:val="24"/>
          <w:szCs w:val="24"/>
        </w:rPr>
        <w:t>Two construction bond programs supported by local taxpayers have helped to physically transform the campus with five new buildings and numerous renovation projects.  These include the Learning Resource Center; the Kinesiology, Health and Aquatics Center; the Public Safety and Allied Health building; a new Science building; and the Crafton Center.</w:t>
      </w:r>
    </w:p>
    <w:p w:rsidR="00AD1889" w:rsidRPr="00A305C1" w:rsidRDefault="00136838">
      <w:pPr>
        <w:jc w:val="both"/>
        <w:rPr>
          <w:rFonts w:asciiTheme="minorHAnsi" w:hAnsiTheme="minorHAnsi"/>
          <w:color w:val="auto"/>
          <w:sz w:val="24"/>
          <w:szCs w:val="24"/>
        </w:rPr>
      </w:pPr>
      <w:r w:rsidRPr="00A305C1">
        <w:rPr>
          <w:rFonts w:asciiTheme="minorHAnsi" w:eastAsia="Arial" w:hAnsiTheme="minorHAnsi" w:cs="Arial"/>
          <w:color w:val="auto"/>
          <w:sz w:val="24"/>
          <w:szCs w:val="24"/>
        </w:rPr>
        <w:t>Crafton Hills College most recently conducted a comprehensive Self-Evaluation Report for the Accrediting Commission for Community and Junior Colleges (ACCJC) in October 2014. The College is in the process of addressing recommendations outlined by the ACCJC and will submit a follow-up Self-Evaluation Report in March 2016.  CHC is continues to embrace a culture of institutional improvement and refinement. The CHC Educational Master Plan is a testament to the College’s determination to sustain a culture of accountability and integrated planning.</w:t>
      </w:r>
    </w:p>
    <w:p w:rsidR="00AD1889" w:rsidRPr="00A305C1" w:rsidRDefault="00136838">
      <w:pPr>
        <w:rPr>
          <w:rFonts w:asciiTheme="minorHAnsi" w:hAnsiTheme="minorHAnsi"/>
          <w:sz w:val="24"/>
          <w:szCs w:val="24"/>
        </w:rPr>
      </w:pPr>
      <w:r w:rsidRPr="00A305C1">
        <w:rPr>
          <w:rFonts w:asciiTheme="minorHAnsi" w:eastAsia="Arial" w:hAnsiTheme="minorHAnsi" w:cs="Arial"/>
          <w:sz w:val="24"/>
          <w:szCs w:val="24"/>
        </w:rPr>
        <w:t>The CHC Foundation plays a vital role in supporting the College. Established in 1972, the Foundation has been instrumental in providing financial support to students and helping to underwrite items or activities at the College that cannot be funded through other means. The Foundation Board is also instrumental in building relationships in the community.</w:t>
      </w:r>
    </w:p>
    <w:p w:rsidR="00AD1889" w:rsidRPr="00A305C1" w:rsidRDefault="00136838">
      <w:pPr>
        <w:jc w:val="both"/>
        <w:rPr>
          <w:rFonts w:asciiTheme="minorHAnsi" w:eastAsia="Arial" w:hAnsiTheme="minorHAnsi" w:cs="Arial"/>
          <w:b/>
          <w:color w:val="auto"/>
          <w:sz w:val="24"/>
          <w:szCs w:val="24"/>
        </w:rPr>
      </w:pPr>
      <w:r w:rsidRPr="00A305C1">
        <w:rPr>
          <w:rFonts w:asciiTheme="minorHAnsi" w:eastAsia="Arial" w:hAnsiTheme="minorHAnsi" w:cs="Arial"/>
          <w:b/>
          <w:color w:val="auto"/>
          <w:sz w:val="24"/>
          <w:szCs w:val="24"/>
        </w:rPr>
        <w:t>Crafton Hills College Organizational Structure</w:t>
      </w:r>
    </w:p>
    <w:p w:rsidR="00A305C1" w:rsidRPr="00630634" w:rsidRDefault="00A305C1" w:rsidP="00A305C1">
      <w:pPr>
        <w:rPr>
          <w:rFonts w:asciiTheme="minorHAnsi" w:eastAsia="Arial" w:hAnsiTheme="minorHAnsi" w:cs="Arial"/>
          <w:b/>
          <w:sz w:val="24"/>
        </w:rPr>
      </w:pPr>
      <w:r w:rsidRPr="00630634">
        <w:rPr>
          <w:rFonts w:asciiTheme="minorHAnsi" w:eastAsia="Arial" w:hAnsiTheme="minorHAnsi" w:cs="Arial"/>
          <w:b/>
          <w:sz w:val="24"/>
        </w:rPr>
        <w:t>Instruction</w:t>
      </w:r>
    </w:p>
    <w:p w:rsidR="00A305C1" w:rsidRPr="00A305C1" w:rsidRDefault="00A305C1" w:rsidP="00A305C1">
      <w:pPr>
        <w:rPr>
          <w:rFonts w:asciiTheme="minorHAnsi" w:hAnsiTheme="minorHAnsi"/>
          <w:sz w:val="24"/>
        </w:rPr>
      </w:pPr>
      <w:r w:rsidRPr="00A305C1">
        <w:rPr>
          <w:rFonts w:asciiTheme="minorHAnsi" w:eastAsia="Arial" w:hAnsiTheme="minorHAnsi" w:cs="Arial"/>
          <w:sz w:val="24"/>
        </w:rPr>
        <w:lastRenderedPageBreak/>
        <w:t xml:space="preserve">The Instructional Area at Crafton Hills College values best practices and innovative strategies aimed at enhancing student success. Specific strategies already implemented include learning communities, integration with support services, student learning outcomes assessment, improved classroom technology, and identification of teaching best practices. </w:t>
      </w:r>
    </w:p>
    <w:p w:rsidR="00A305C1" w:rsidRPr="00A305C1" w:rsidRDefault="00A305C1" w:rsidP="00A305C1">
      <w:pPr>
        <w:rPr>
          <w:rFonts w:asciiTheme="minorHAnsi" w:hAnsiTheme="minorHAnsi"/>
          <w:sz w:val="24"/>
        </w:rPr>
      </w:pPr>
      <w:r w:rsidRPr="00A305C1">
        <w:rPr>
          <w:rFonts w:asciiTheme="minorHAnsi" w:eastAsia="Arial" w:hAnsiTheme="minorHAnsi" w:cs="Arial"/>
          <w:sz w:val="24"/>
        </w:rPr>
        <w:t xml:space="preserve">As the </w:t>
      </w:r>
      <w:r w:rsidR="00FB6DA3">
        <w:rPr>
          <w:rFonts w:asciiTheme="minorHAnsi" w:eastAsia="Arial" w:hAnsiTheme="minorHAnsi" w:cs="Arial"/>
          <w:sz w:val="24"/>
        </w:rPr>
        <w:t>state</w:t>
      </w:r>
      <w:r w:rsidRPr="00A305C1">
        <w:rPr>
          <w:rFonts w:asciiTheme="minorHAnsi" w:eastAsia="Arial" w:hAnsiTheme="minorHAnsi" w:cs="Arial"/>
          <w:sz w:val="24"/>
        </w:rPr>
        <w:t>’s budget has returned to healthier levels, the instructional area has shifted to placing significant emphasis on enrollment growth. In coordination with the District, we have are developing a c</w:t>
      </w:r>
      <w:r>
        <w:rPr>
          <w:rFonts w:asciiTheme="minorHAnsi" w:eastAsia="Arial" w:hAnsiTheme="minorHAnsi" w:cs="Arial"/>
          <w:sz w:val="24"/>
        </w:rPr>
        <w:t>omprehensive enrollment plan that</w:t>
      </w:r>
      <w:r w:rsidRPr="00A305C1">
        <w:rPr>
          <w:rFonts w:asciiTheme="minorHAnsi" w:eastAsia="Arial" w:hAnsiTheme="minorHAnsi" w:cs="Arial"/>
          <w:sz w:val="24"/>
        </w:rPr>
        <w:t xml:space="preserve"> seeks to grow Crafton toward 5,000+ FTES. The growth effort has place some strains on hiring, enrollment efficiencies and space utilization.</w:t>
      </w:r>
    </w:p>
    <w:p w:rsidR="00A305C1" w:rsidRPr="00A305C1" w:rsidRDefault="00A305C1" w:rsidP="00A305C1">
      <w:pPr>
        <w:rPr>
          <w:rFonts w:asciiTheme="minorHAnsi" w:hAnsiTheme="minorHAnsi"/>
          <w:sz w:val="24"/>
        </w:rPr>
      </w:pPr>
      <w:r w:rsidRPr="00A305C1">
        <w:rPr>
          <w:rFonts w:asciiTheme="minorHAnsi" w:eastAsia="Arial" w:hAnsiTheme="minorHAnsi" w:cs="Arial"/>
          <w:sz w:val="24"/>
        </w:rPr>
        <w:t xml:space="preserve">The following clusters are the focal points for the Instruction Area: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Transfer Math, English, and Reading</w:t>
      </w:r>
      <w:r w:rsidRPr="00A305C1">
        <w:rPr>
          <w:rFonts w:asciiTheme="minorHAnsi" w:eastAsia="Arial" w:hAnsiTheme="minorHAnsi" w:cs="Arial"/>
          <w:sz w:val="24"/>
        </w:rPr>
        <w:t xml:space="preserve">--Faculty in these programs not only serve developmental needs, but have provided rich opportunities for advanced students as well. The College will continue to support and enhance upper-level classes and activities in these areas.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Public Safety and Health Career</w:t>
      </w:r>
      <w:r w:rsidRPr="00A305C1">
        <w:rPr>
          <w:rFonts w:asciiTheme="minorHAnsi" w:eastAsia="Arial" w:hAnsiTheme="minorHAnsi" w:cs="Arial"/>
          <w:sz w:val="24"/>
        </w:rPr>
        <w:t xml:space="preserve">--The College has an excellent reputation in the business community, with these programs training hundreds of qualified first responders and allied health professionals each year. The high-quality instruction in this area will continue. </w:t>
      </w:r>
      <w:proofErr w:type="gramStart"/>
      <w:r w:rsidRPr="00A305C1">
        <w:rPr>
          <w:rFonts w:asciiTheme="minorHAnsi" w:eastAsia="Arial" w:hAnsiTheme="minorHAnsi" w:cs="Arial"/>
          <w:sz w:val="24"/>
        </w:rPr>
        <w:t>Faculty in these programs have</w:t>
      </w:r>
      <w:proofErr w:type="gramEnd"/>
      <w:r w:rsidRPr="00A305C1">
        <w:rPr>
          <w:rFonts w:asciiTheme="minorHAnsi" w:eastAsia="Arial" w:hAnsiTheme="minorHAnsi" w:cs="Arial"/>
          <w:sz w:val="24"/>
        </w:rPr>
        <w:t xml:space="preserve"> excellent relationships with employers and strive to keep their curriculum current.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Developmental Education and Support Service</w:t>
      </w:r>
      <w:r w:rsidRPr="00A305C1">
        <w:rPr>
          <w:rFonts w:asciiTheme="minorHAnsi" w:eastAsia="Arial" w:hAnsiTheme="minorHAnsi" w:cs="Arial"/>
          <w:sz w:val="24"/>
        </w:rPr>
        <w:t>--The College’s Basic Skills Plan concentrates on creating a cohesive and integrated developmental education program. Pre-collegiate courses in math, English, reading, library science, and college life are designed to prepare students for success in higher-level courses and provide foundational skills necessary for lifelong success. Progress continues with the integration of learning resource services such as tutoring with classroom experiences</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Science</w:t>
      </w:r>
      <w:r w:rsidRPr="00A305C1">
        <w:rPr>
          <w:rFonts w:asciiTheme="minorHAnsi" w:eastAsia="Arial" w:hAnsiTheme="minorHAnsi" w:cs="Arial"/>
          <w:sz w:val="24"/>
        </w:rPr>
        <w:t xml:space="preserve">--Courses in the natural sciences are in high demand at the College. These disciplines are essential for transfer preparation and for entrance into health programs such as nursing and allied health. Efforts will continue to expand the number of sections and resources available to the sciences.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Fine Arts</w:t>
      </w:r>
      <w:r w:rsidRPr="00A305C1">
        <w:rPr>
          <w:rFonts w:asciiTheme="minorHAnsi" w:eastAsia="Arial" w:hAnsiTheme="minorHAnsi" w:cs="Arial"/>
          <w:sz w:val="24"/>
        </w:rPr>
        <w:t xml:space="preserve">--These disciplines provide students the opportunity to be involved in the arts at every level, from creative inception to performance and production. The courses are focused primarily on transfer preparation and provide rich co-curricular experiences for students, whether they are taking the courses to satisfy general education requirements or desire a career in the field.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Child Development and Education</w:t>
      </w:r>
      <w:r w:rsidRPr="00A305C1">
        <w:rPr>
          <w:rFonts w:asciiTheme="minorHAnsi" w:eastAsia="Arial" w:hAnsiTheme="minorHAnsi" w:cs="Arial"/>
          <w:sz w:val="24"/>
        </w:rPr>
        <w:t xml:space="preserve">--These courses prepare students to become educators whether their desire is to work with young children or to become teachers in a K-12 setting.  </w:t>
      </w:r>
      <w:r w:rsidRPr="00A305C1">
        <w:rPr>
          <w:rFonts w:asciiTheme="minorHAnsi" w:eastAsia="Arial" w:hAnsiTheme="minorHAnsi" w:cs="Arial"/>
          <w:sz w:val="24"/>
        </w:rPr>
        <w:lastRenderedPageBreak/>
        <w:t xml:space="preserve">Human Development theories are the underpinning of the program, and faculty collaborate with the psychology and sociology disciplines.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Business and Information Technology</w:t>
      </w:r>
      <w:r w:rsidRPr="00A305C1">
        <w:rPr>
          <w:rFonts w:asciiTheme="minorHAnsi" w:eastAsia="Arial" w:hAnsiTheme="minorHAnsi" w:cs="Arial"/>
          <w:sz w:val="24"/>
        </w:rPr>
        <w:t>--Courses in this cluster include both transfer and workforce development opportunities for students.  Instruction will strengthen the transfer components and determine how to use limited resources for workforce development classes</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Communication and Language</w:t>
      </w:r>
      <w:r w:rsidRPr="00A305C1">
        <w:rPr>
          <w:rFonts w:asciiTheme="minorHAnsi" w:eastAsia="Arial" w:hAnsiTheme="minorHAnsi" w:cs="Arial"/>
          <w:sz w:val="24"/>
        </w:rPr>
        <w:t xml:space="preserve">--Coursework in communication and language prepares students to succeed in an increasingly multicultural world.  The languages have been expanded to offer a variety of transfer options and to expose students to different cultures.  Clubs and co-curricular activities enhance the classroom experience.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 xml:space="preserve">Health and </w:t>
      </w:r>
      <w:r>
        <w:rPr>
          <w:rFonts w:asciiTheme="minorHAnsi" w:eastAsia="Arial" w:hAnsiTheme="minorHAnsi" w:cs="Arial"/>
          <w:sz w:val="24"/>
          <w:u w:val="single"/>
        </w:rPr>
        <w:t>Kinesiology</w:t>
      </w:r>
      <w:r w:rsidRPr="00A305C1">
        <w:rPr>
          <w:rFonts w:asciiTheme="minorHAnsi" w:eastAsia="Arial" w:hAnsiTheme="minorHAnsi" w:cs="Arial"/>
          <w:sz w:val="24"/>
        </w:rPr>
        <w:t xml:space="preserve">--The mission in this area is to provide students with knowledge and skills for lifelong healthful living.  Many of the courses transfer; others will be reviewed for relevance as budget problems continue or if funding levels change.  Expansion into sports related clubs (including aquatics, tennis, and golf) is being explored, particularly in light of the activation of new facilities.  </w:t>
      </w:r>
    </w:p>
    <w:p w:rsidR="00A305C1" w:rsidRPr="00A305C1" w:rsidRDefault="00A305C1" w:rsidP="00A305C1">
      <w:pPr>
        <w:rPr>
          <w:rFonts w:asciiTheme="minorHAnsi" w:hAnsiTheme="minorHAnsi"/>
          <w:sz w:val="24"/>
        </w:rPr>
      </w:pPr>
      <w:r w:rsidRPr="00A305C1">
        <w:rPr>
          <w:rFonts w:asciiTheme="minorHAnsi" w:eastAsia="Arial" w:hAnsiTheme="minorHAnsi" w:cs="Arial"/>
          <w:sz w:val="24"/>
          <w:u w:val="single"/>
        </w:rPr>
        <w:t>Humanities, Social Science, and Behavioral Science</w:t>
      </w:r>
      <w:r w:rsidRPr="00A305C1">
        <w:rPr>
          <w:rFonts w:asciiTheme="minorHAnsi" w:eastAsia="Arial" w:hAnsiTheme="minorHAnsi" w:cs="Arial"/>
          <w:sz w:val="24"/>
        </w:rPr>
        <w:t xml:space="preserve">--These programs offer students tremendous opportunities for transfer preparation and a variety of ways to meet general education requirements.  </w:t>
      </w:r>
      <w:proofErr w:type="gramStart"/>
      <w:r w:rsidRPr="00A305C1">
        <w:rPr>
          <w:rFonts w:asciiTheme="minorHAnsi" w:eastAsia="Arial" w:hAnsiTheme="minorHAnsi" w:cs="Arial"/>
          <w:sz w:val="24"/>
        </w:rPr>
        <w:t>Faculty in many of these areas provide</w:t>
      </w:r>
      <w:proofErr w:type="gramEnd"/>
      <w:r w:rsidRPr="00A305C1">
        <w:rPr>
          <w:rFonts w:asciiTheme="minorHAnsi" w:eastAsia="Arial" w:hAnsiTheme="minorHAnsi" w:cs="Arial"/>
          <w:sz w:val="24"/>
        </w:rPr>
        <w:t xml:space="preserve"> leadership to clubs and service organizations. </w:t>
      </w:r>
    </w:p>
    <w:p w:rsidR="00A305C1" w:rsidRDefault="00A305C1" w:rsidP="00A305C1">
      <w:pPr>
        <w:rPr>
          <w:rFonts w:asciiTheme="minorHAnsi" w:eastAsia="Arial" w:hAnsiTheme="minorHAnsi" w:cs="Arial"/>
          <w:sz w:val="24"/>
        </w:rPr>
      </w:pPr>
      <w:r w:rsidRPr="00A305C1">
        <w:rPr>
          <w:rFonts w:asciiTheme="minorHAnsi" w:eastAsia="Arial" w:hAnsiTheme="minorHAnsi" w:cs="Arial"/>
          <w:sz w:val="24"/>
        </w:rPr>
        <w:t xml:space="preserve">More broadly, Instructional Area program directions include the following: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Identify and meet student needs related to the College vision and mission.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Implement best practices for managing and teaching, including experimentation and innovation.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Model and reinforce collaborative approaches to meeting student needs.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Seek out additional revenue streams, including grants and private donations.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Encourage co-curricular activities such as clubs, participation in professional organizations, and internships.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Expand Student Learning Outcomes assessment and continuous improvement until it becomes an integral part of the culture.  </w:t>
      </w:r>
    </w:p>
    <w:p w:rsidR="00630634"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Strengthen developmental education and support services.  </w:t>
      </w:r>
    </w:p>
    <w:p w:rsidR="00A305C1" w:rsidRPr="00630634" w:rsidRDefault="00A305C1" w:rsidP="00E30CA3">
      <w:pPr>
        <w:pStyle w:val="ListParagraph"/>
        <w:numPr>
          <w:ilvl w:val="0"/>
          <w:numId w:val="19"/>
        </w:numPr>
        <w:rPr>
          <w:rFonts w:asciiTheme="minorHAnsi" w:hAnsiTheme="minorHAnsi"/>
          <w:sz w:val="24"/>
        </w:rPr>
      </w:pPr>
      <w:r w:rsidRPr="00630634">
        <w:rPr>
          <w:rFonts w:asciiTheme="minorHAnsi" w:eastAsia="Arial" w:hAnsiTheme="minorHAnsi" w:cs="Arial"/>
          <w:sz w:val="24"/>
        </w:rPr>
        <w:t xml:space="preserve">Expand honors curriculum and activities.   </w:t>
      </w:r>
    </w:p>
    <w:p w:rsidR="00AD1889" w:rsidRDefault="00AD1889">
      <w:pPr>
        <w:jc w:val="both"/>
        <w:rPr>
          <w:rFonts w:asciiTheme="minorHAnsi" w:hAnsiTheme="minorHAnsi"/>
          <w:sz w:val="24"/>
          <w:szCs w:val="24"/>
        </w:rPr>
      </w:pPr>
    </w:p>
    <w:p w:rsidR="00630634" w:rsidRDefault="00630634" w:rsidP="00630634">
      <w:r>
        <w:rPr>
          <w:rFonts w:ascii="Arial" w:eastAsia="Arial" w:hAnsi="Arial" w:cs="Arial"/>
          <w:b/>
        </w:rPr>
        <w:t xml:space="preserve">Student Services </w:t>
      </w:r>
      <w:r>
        <w:rPr>
          <w:rFonts w:ascii="Arial" w:eastAsia="Arial" w:hAnsi="Arial" w:cs="Arial"/>
          <w:b/>
          <w:color w:val="FF0000"/>
        </w:rPr>
        <w:t>(DRAFT - Revise this section)</w:t>
      </w:r>
    </w:p>
    <w:p w:rsidR="00630634" w:rsidRDefault="00136838" w:rsidP="00630634">
      <w:pPr>
        <w:rPr>
          <w:rFonts w:asciiTheme="minorHAnsi" w:eastAsia="Arial" w:hAnsiTheme="minorHAnsi" w:cs="Arial"/>
          <w:sz w:val="24"/>
          <w:szCs w:val="24"/>
        </w:rPr>
      </w:pPr>
      <w:r w:rsidRPr="00A305C1">
        <w:rPr>
          <w:rFonts w:asciiTheme="minorHAnsi" w:eastAsia="Arial" w:hAnsiTheme="minorHAnsi" w:cs="Arial"/>
          <w:sz w:val="24"/>
          <w:szCs w:val="24"/>
        </w:rPr>
        <w:t xml:space="preserve">Student Services is responsible for all student services matters including counseling and matriculation, student development and success, and special services.  </w:t>
      </w:r>
      <w:r w:rsidR="00630634">
        <w:rPr>
          <w:rFonts w:asciiTheme="minorHAnsi" w:eastAsia="Arial" w:hAnsiTheme="minorHAnsi" w:cs="Arial"/>
          <w:sz w:val="24"/>
          <w:szCs w:val="24"/>
        </w:rPr>
        <w:t>The area’s strategic directions include:</w:t>
      </w:r>
    </w:p>
    <w:p w:rsidR="00630634" w:rsidRDefault="00630634" w:rsidP="00E30CA3">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lastRenderedPageBreak/>
        <w:t>Integrated and mandatory key intake programs, placement in appropriate programs of study, careful monitoring of student success, and creation of student success</w:t>
      </w:r>
    </w:p>
    <w:p w:rsidR="00630634" w:rsidRDefault="00630634" w:rsidP="00E30CA3">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Promoting equity, access, and inclusion, valuing diversity, and supporting student connection</w:t>
      </w:r>
    </w:p>
    <w:p w:rsidR="00630634" w:rsidRDefault="00630634" w:rsidP="00E30CA3">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Promotion of deep learning through experiences and courses</w:t>
      </w:r>
    </w:p>
    <w:p w:rsidR="00630634" w:rsidRDefault="00630634" w:rsidP="00E30CA3">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Inclusion, development, and empowerment of staff</w:t>
      </w:r>
    </w:p>
    <w:p w:rsidR="00630634" w:rsidRPr="00630634" w:rsidRDefault="00630634" w:rsidP="00E30CA3">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Continuous quality improvement and effective resource utilization</w:t>
      </w:r>
    </w:p>
    <w:p w:rsidR="00630634" w:rsidRDefault="00630634" w:rsidP="00630634">
      <w:pPr>
        <w:rPr>
          <w:rFonts w:asciiTheme="minorHAnsi" w:eastAsia="Arial" w:hAnsiTheme="minorHAnsi" w:cs="Arial"/>
          <w:sz w:val="24"/>
          <w:szCs w:val="24"/>
        </w:rPr>
      </w:pPr>
    </w:p>
    <w:p w:rsidR="00AD1889" w:rsidRPr="00A305C1" w:rsidRDefault="00136838" w:rsidP="00630634">
      <w:pPr>
        <w:rPr>
          <w:rFonts w:asciiTheme="minorHAnsi" w:hAnsiTheme="minorHAnsi"/>
          <w:sz w:val="24"/>
          <w:szCs w:val="24"/>
        </w:rPr>
      </w:pPr>
      <w:r w:rsidRPr="00A305C1">
        <w:rPr>
          <w:rFonts w:asciiTheme="minorHAnsi" w:eastAsia="Arial" w:hAnsiTheme="minorHAnsi" w:cs="Arial"/>
          <w:sz w:val="24"/>
          <w:szCs w:val="24"/>
        </w:rPr>
        <w:t xml:space="preserve">CHC currently offers the following student services: </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Admissions &amp; Records – Provides enrollment services, including registration, transcripts and graduation.</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California Work Opportunity and Responsibility to Kids (CalWORKs) – Administers this program designed for students who receive public assistance.  The program provides education, training and supportive services to eligible students.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Career Services – Provides specialized services and information to assist students with career planning, including, career assessment/exploration, labor market statistics, and career education/training requirements.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Child Development Center – Provides a preschool program with extended care hours, for those children ages 3-5 of students, staff and the community.  The Center also serves as a facility for the College’s early education program.</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Cooperative Agencies Resources for Education (CARE) – Provides supplemental financial support and services to qualified students who are single heads of household.</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Counseling – Provides students counseling and career services.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Disabled Student Programs &amp; Services (DSPS) – Ensures access to educational opportunities for students with visual, hearing, physical, learning, and mental disabilities.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Extended Opportunities Programs and Services (EOPS) – Provides supplemental services and financial aid for academically and financial at-risk students.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 xml:space="preserve">Financial Aid – Oversees application for and disbursement of federal and </w:t>
      </w:r>
      <w:r w:rsidR="00FB6DA3">
        <w:rPr>
          <w:rFonts w:asciiTheme="minorHAnsi" w:eastAsia="Arial" w:hAnsiTheme="minorHAnsi" w:cs="Arial"/>
          <w:sz w:val="24"/>
          <w:szCs w:val="24"/>
        </w:rPr>
        <w:t>state</w:t>
      </w:r>
      <w:r w:rsidRPr="00630634">
        <w:rPr>
          <w:rFonts w:asciiTheme="minorHAnsi" w:eastAsia="Arial" w:hAnsiTheme="minorHAnsi" w:cs="Arial"/>
          <w:sz w:val="24"/>
          <w:szCs w:val="24"/>
        </w:rPr>
        <w:t xml:space="preserve"> financial aid.</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Health and Wellness – Provides first aid, urgent care, and mental health services.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International Students – The College is approved by the Immigration and Naturalization Service to admit non-immigrant F-1 Visa international students.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Resources, Encouragement, and Advocacy for Crafton’s Homeless (REACH) – Provides access, advocacy, resources, and support for homeless and at-risk students.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Scholarships – Provides internal and external scholarships to qualified students.</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Student Life – Promotes student engagement in clubs and co-curricular activities, and supports and guides the Associated Student Government.</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lastRenderedPageBreak/>
        <w:t xml:space="preserve">Student Success </w:t>
      </w:r>
      <w:r w:rsidR="00630634">
        <w:rPr>
          <w:rFonts w:asciiTheme="minorHAnsi" w:eastAsia="Arial" w:hAnsiTheme="minorHAnsi" w:cs="Arial"/>
          <w:sz w:val="24"/>
          <w:szCs w:val="24"/>
        </w:rPr>
        <w:t xml:space="preserve">and Support </w:t>
      </w:r>
      <w:r w:rsidRPr="00630634">
        <w:rPr>
          <w:rFonts w:asciiTheme="minorHAnsi" w:eastAsia="Arial" w:hAnsiTheme="minorHAnsi" w:cs="Arial"/>
          <w:sz w:val="24"/>
          <w:szCs w:val="24"/>
        </w:rPr>
        <w:t>Program – Provides assistance for students to obtain the resources and support they need to be successful in college.</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Technical Preparation Articulation – Allows students to earn college credit for articulated career-technical courses they have successfully completed at their high school or local Regional Occupational Program (ROP)</w:t>
      </w:r>
    </w:p>
    <w:p w:rsidR="00AD1889" w:rsidRPr="00630634" w:rsidRDefault="00136838" w:rsidP="00E30CA3">
      <w:pPr>
        <w:pStyle w:val="ListParagraph"/>
        <w:numPr>
          <w:ilvl w:val="1"/>
          <w:numId w:val="20"/>
        </w:numPr>
        <w:spacing w:after="120"/>
        <w:ind w:left="810"/>
        <w:rPr>
          <w:rFonts w:asciiTheme="minorHAnsi" w:hAnsiTheme="minorHAnsi"/>
          <w:sz w:val="24"/>
          <w:szCs w:val="24"/>
        </w:rPr>
      </w:pPr>
      <w:r w:rsidRPr="00630634">
        <w:rPr>
          <w:rFonts w:asciiTheme="minorHAnsi" w:eastAsia="Arial" w:hAnsiTheme="minorHAnsi" w:cs="Arial"/>
          <w:sz w:val="24"/>
          <w:szCs w:val="24"/>
        </w:rPr>
        <w:t>University Transfer Center – Provides transfer assistance to CSU, UC, private and out-of-</w:t>
      </w:r>
      <w:r w:rsidR="00FB6DA3">
        <w:rPr>
          <w:rFonts w:asciiTheme="minorHAnsi" w:eastAsia="Arial" w:hAnsiTheme="minorHAnsi" w:cs="Arial"/>
          <w:sz w:val="24"/>
          <w:szCs w:val="24"/>
        </w:rPr>
        <w:t>state</w:t>
      </w:r>
      <w:r w:rsidRPr="00630634">
        <w:rPr>
          <w:rFonts w:asciiTheme="minorHAnsi" w:eastAsia="Arial" w:hAnsiTheme="minorHAnsi" w:cs="Arial"/>
          <w:sz w:val="24"/>
          <w:szCs w:val="24"/>
        </w:rPr>
        <w:t xml:space="preserve"> universities.</w:t>
      </w:r>
    </w:p>
    <w:p w:rsidR="00AD1889" w:rsidRPr="00630634" w:rsidRDefault="00136838" w:rsidP="00E30CA3">
      <w:pPr>
        <w:pStyle w:val="ListParagraph"/>
        <w:numPr>
          <w:ilvl w:val="1"/>
          <w:numId w:val="20"/>
        </w:numPr>
        <w:ind w:left="810"/>
        <w:rPr>
          <w:rFonts w:asciiTheme="minorHAnsi" w:hAnsiTheme="minorHAnsi"/>
          <w:sz w:val="24"/>
          <w:szCs w:val="24"/>
        </w:rPr>
      </w:pPr>
      <w:r w:rsidRPr="00630634">
        <w:rPr>
          <w:rFonts w:asciiTheme="minorHAnsi" w:eastAsia="Arial" w:hAnsiTheme="minorHAnsi" w:cs="Arial"/>
          <w:sz w:val="24"/>
          <w:szCs w:val="24"/>
        </w:rPr>
        <w:t>Veterans – Provides veteran students with referral, certification, and liaison support services.</w:t>
      </w:r>
    </w:p>
    <w:p w:rsidR="00AD1889" w:rsidRDefault="00AD1889"/>
    <w:p w:rsidR="00AD1889" w:rsidRPr="00630634" w:rsidRDefault="00136838">
      <w:pPr>
        <w:rPr>
          <w:rFonts w:asciiTheme="minorHAnsi" w:hAnsiTheme="minorHAnsi"/>
          <w:sz w:val="24"/>
          <w:szCs w:val="24"/>
        </w:rPr>
      </w:pPr>
      <w:r w:rsidRPr="00630634">
        <w:rPr>
          <w:rFonts w:asciiTheme="minorHAnsi" w:eastAsia="Arial" w:hAnsiTheme="minorHAnsi" w:cs="Arial"/>
          <w:b/>
          <w:sz w:val="24"/>
          <w:szCs w:val="24"/>
        </w:rPr>
        <w:t>Administrative Services</w:t>
      </w:r>
    </w:p>
    <w:p w:rsidR="00AD1889" w:rsidRPr="00630634" w:rsidRDefault="00630634">
      <w:pPr>
        <w:spacing w:line="240" w:lineRule="auto"/>
        <w:rPr>
          <w:rFonts w:asciiTheme="minorHAnsi" w:hAnsiTheme="minorHAnsi"/>
          <w:sz w:val="24"/>
          <w:szCs w:val="24"/>
        </w:rPr>
      </w:pPr>
      <w:r w:rsidRPr="00630634">
        <w:rPr>
          <w:rFonts w:asciiTheme="minorHAnsi" w:eastAsia="Arial" w:hAnsiTheme="minorHAnsi" w:cs="Arial"/>
          <w:sz w:val="24"/>
          <w:szCs w:val="24"/>
        </w:rPr>
        <w:t xml:space="preserve">Administrative Services </w:t>
      </w:r>
      <w:r>
        <w:rPr>
          <w:rFonts w:asciiTheme="minorHAnsi" w:eastAsia="Arial" w:hAnsiTheme="minorHAnsi" w:cs="Arial"/>
          <w:sz w:val="24"/>
          <w:szCs w:val="24"/>
        </w:rPr>
        <w:t xml:space="preserve">consists of </w:t>
      </w:r>
      <w:r w:rsidR="00136838" w:rsidRPr="00630634">
        <w:rPr>
          <w:rFonts w:asciiTheme="minorHAnsi" w:eastAsia="Arial" w:hAnsiTheme="minorHAnsi" w:cs="Arial"/>
          <w:sz w:val="24"/>
          <w:szCs w:val="24"/>
        </w:rPr>
        <w:t>the Campus Business Office, the Facilities Use office, the Communications Office, Aquatics, Technology Services, Maintenance, Grounds, Custodial, Warehouse, Bookstore, and the Cafeteria. The mission of the Administrative Services is to support the various departments, programs, students, and services of Crafton Hills College and provide a quality learning environment.</w:t>
      </w:r>
    </w:p>
    <w:p w:rsidR="00AD1889" w:rsidRPr="00630634" w:rsidRDefault="00136838">
      <w:pPr>
        <w:spacing w:line="240" w:lineRule="auto"/>
        <w:rPr>
          <w:rFonts w:asciiTheme="minorHAnsi" w:hAnsiTheme="minorHAnsi"/>
          <w:sz w:val="24"/>
          <w:szCs w:val="24"/>
        </w:rPr>
      </w:pPr>
      <w:r w:rsidRPr="00630634">
        <w:rPr>
          <w:rFonts w:asciiTheme="minorHAnsi" w:eastAsia="Arial" w:hAnsiTheme="minorHAnsi" w:cs="Arial"/>
          <w:sz w:val="24"/>
          <w:szCs w:val="24"/>
        </w:rPr>
        <w:t xml:space="preserve">Administrative Services is responsible for budget development, budget management, safety compliance, physical facility scheduling, financial support services, parking services, construction coordination, campus operator functions, food services, bookstore services, aquatics center management, and technology support services. </w:t>
      </w:r>
    </w:p>
    <w:p w:rsidR="00AD1889" w:rsidRPr="00630634" w:rsidRDefault="00136838">
      <w:pPr>
        <w:spacing w:line="240" w:lineRule="auto"/>
        <w:rPr>
          <w:rFonts w:asciiTheme="minorHAnsi" w:hAnsiTheme="minorHAnsi"/>
          <w:sz w:val="24"/>
          <w:szCs w:val="24"/>
        </w:rPr>
      </w:pPr>
      <w:r w:rsidRPr="00630634">
        <w:rPr>
          <w:rFonts w:asciiTheme="minorHAnsi" w:eastAsia="Arial" w:hAnsiTheme="minorHAnsi" w:cs="Arial"/>
          <w:sz w:val="24"/>
          <w:szCs w:val="24"/>
        </w:rPr>
        <w:br/>
      </w:r>
      <w:r w:rsidRPr="00630634">
        <w:rPr>
          <w:rFonts w:asciiTheme="minorHAnsi" w:eastAsia="Arial" w:hAnsiTheme="minorHAnsi" w:cs="Arial"/>
          <w:b/>
          <w:sz w:val="24"/>
          <w:szCs w:val="24"/>
        </w:rPr>
        <w:t>Facilities (Maintenance, Grounds, Custodial)--</w:t>
      </w:r>
      <w:r w:rsidRPr="00630634">
        <w:rPr>
          <w:rFonts w:asciiTheme="minorHAnsi" w:eastAsia="Arial" w:hAnsiTheme="minorHAnsi" w:cs="Arial"/>
          <w:sz w:val="24"/>
          <w:szCs w:val="24"/>
        </w:rPr>
        <w:t xml:space="preserve">The Crafton Hills College Facilities Department is a combination of the four facilities service centers (facilities use, custodial, grounds, maintenance) that provide the physical support services to all of the campus facilities, programs, and occupants. The mission of the Facilities Department is "As an integral part of Crafton Hills College, we pledge to help provide a welcoming, safe, clean, comfortable, and efficient environment for the students, faculty, and staff. We value the diverse campus community and will treat everyone with respect and courtesy." </w:t>
      </w:r>
    </w:p>
    <w:p w:rsidR="00AD1889" w:rsidRPr="00630634" w:rsidRDefault="00136838">
      <w:pPr>
        <w:spacing w:line="240" w:lineRule="auto"/>
        <w:rPr>
          <w:rFonts w:asciiTheme="minorHAnsi" w:hAnsiTheme="minorHAnsi"/>
          <w:sz w:val="24"/>
          <w:szCs w:val="24"/>
        </w:rPr>
      </w:pPr>
      <w:r w:rsidRPr="00630634">
        <w:rPr>
          <w:rFonts w:asciiTheme="minorHAnsi" w:eastAsia="Arial" w:hAnsiTheme="minorHAnsi" w:cs="Arial"/>
          <w:b/>
          <w:sz w:val="24"/>
          <w:szCs w:val="24"/>
        </w:rPr>
        <w:t>Aquatics--</w:t>
      </w:r>
      <w:r w:rsidRPr="00630634">
        <w:rPr>
          <w:rFonts w:asciiTheme="minorHAnsi" w:eastAsia="Arial" w:hAnsiTheme="minorHAnsi" w:cs="Arial"/>
          <w:sz w:val="24"/>
          <w:szCs w:val="24"/>
        </w:rPr>
        <w:t xml:space="preserve">Aquatics management is a responsibility of Administrative Services. The purpose of this service is to increase opportunities for instructional course offerings, maintain the health and safety of the pool, and increase revenues to offset the operational cost. In addition, Aquatics management enhances community partnerships. </w:t>
      </w:r>
    </w:p>
    <w:p w:rsidR="00AD1889" w:rsidRPr="00630634" w:rsidRDefault="00136838">
      <w:pPr>
        <w:spacing w:line="240" w:lineRule="auto"/>
        <w:rPr>
          <w:rFonts w:asciiTheme="minorHAnsi" w:hAnsiTheme="minorHAnsi"/>
          <w:sz w:val="24"/>
          <w:szCs w:val="24"/>
        </w:rPr>
      </w:pPr>
      <w:r w:rsidRPr="00630634">
        <w:rPr>
          <w:rFonts w:asciiTheme="minorHAnsi" w:eastAsia="Arial" w:hAnsiTheme="minorHAnsi" w:cs="Arial"/>
          <w:b/>
          <w:sz w:val="24"/>
          <w:szCs w:val="24"/>
        </w:rPr>
        <w:t>Technology Services--</w:t>
      </w:r>
      <w:r w:rsidRPr="00630634">
        <w:rPr>
          <w:rFonts w:asciiTheme="minorHAnsi" w:eastAsia="Arial" w:hAnsiTheme="minorHAnsi" w:cs="Arial"/>
          <w:sz w:val="24"/>
          <w:szCs w:val="24"/>
        </w:rPr>
        <w:t xml:space="preserve">Technology Services supports the delivery and dissemination of information through the following units: Network/Desktop support, Audio/Visual support and Computer Lab support. These areas provide all the constituencies of Crafton Hills College with a number of vital resources, such as, a stable and dependable data infrastructure, a current and purposeful desktop computing environment, technology equipped "Smart" classrooms, as well as instructional support for audio/visual needs e.g. classroom support, media conversion/duplication. Campus Technology Services also works in conjunction with District </w:t>
      </w:r>
      <w:r w:rsidRPr="00630634">
        <w:rPr>
          <w:rFonts w:asciiTheme="minorHAnsi" w:eastAsia="Arial" w:hAnsiTheme="minorHAnsi" w:cs="Arial"/>
          <w:sz w:val="24"/>
          <w:szCs w:val="24"/>
        </w:rPr>
        <w:lastRenderedPageBreak/>
        <w:t>Technology and Educational Support Services (TESS) ensure that district managed systems utilized by campus constituents are readily available through the campus network.</w:t>
      </w:r>
    </w:p>
    <w:p w:rsidR="00AD1889" w:rsidRPr="00630634" w:rsidRDefault="00136838">
      <w:pPr>
        <w:spacing w:line="240" w:lineRule="auto"/>
        <w:rPr>
          <w:rFonts w:asciiTheme="minorHAnsi" w:hAnsiTheme="minorHAnsi"/>
          <w:sz w:val="24"/>
          <w:szCs w:val="24"/>
        </w:rPr>
      </w:pPr>
      <w:r w:rsidRPr="00630634">
        <w:rPr>
          <w:rFonts w:asciiTheme="minorHAnsi" w:eastAsia="Arial" w:hAnsiTheme="minorHAnsi" w:cs="Arial"/>
          <w:b/>
          <w:sz w:val="24"/>
          <w:szCs w:val="24"/>
        </w:rPr>
        <w:t>Bookstore/Cafeteria--</w:t>
      </w:r>
      <w:r w:rsidRPr="00630634">
        <w:rPr>
          <w:rFonts w:asciiTheme="minorHAnsi" w:eastAsia="Verdana" w:hAnsiTheme="minorHAnsi" w:cs="Verdana"/>
          <w:sz w:val="24"/>
          <w:szCs w:val="24"/>
          <w:highlight w:val="white"/>
        </w:rPr>
        <w:t xml:space="preserve">The Bookstore/Cafeteria provides course materials and supplies, convenience foods, programs and services to support the quality of education to a diverse community of learners. The bookstore/cafeteria supports the campus community by partnering with programs such as EOPS/CARE, Scholarships, and Foundation to provide course materials to students. Food </w:t>
      </w:r>
      <w:proofErr w:type="gramStart"/>
      <w:r w:rsidRPr="00630634">
        <w:rPr>
          <w:rFonts w:asciiTheme="minorHAnsi" w:eastAsia="Verdana" w:hAnsiTheme="minorHAnsi" w:cs="Verdana"/>
          <w:sz w:val="24"/>
          <w:szCs w:val="24"/>
          <w:highlight w:val="white"/>
        </w:rPr>
        <w:t>services completes</w:t>
      </w:r>
      <w:proofErr w:type="gramEnd"/>
      <w:r w:rsidRPr="00630634">
        <w:rPr>
          <w:rFonts w:asciiTheme="minorHAnsi" w:eastAsia="Verdana" w:hAnsiTheme="minorHAnsi" w:cs="Verdana"/>
          <w:sz w:val="24"/>
          <w:szCs w:val="24"/>
          <w:highlight w:val="white"/>
        </w:rPr>
        <w:t xml:space="preserve"> the campus store services by providing food to meet student’s and employee’s needs. </w:t>
      </w:r>
    </w:p>
    <w:p w:rsidR="00630634" w:rsidRPr="00630634" w:rsidRDefault="00630634" w:rsidP="00630634">
      <w:pPr>
        <w:jc w:val="both"/>
        <w:rPr>
          <w:rFonts w:asciiTheme="minorHAnsi" w:hAnsiTheme="minorHAnsi"/>
          <w:b/>
          <w:sz w:val="24"/>
          <w:szCs w:val="24"/>
        </w:rPr>
      </w:pPr>
      <w:r w:rsidRPr="00630634">
        <w:rPr>
          <w:rFonts w:asciiTheme="minorHAnsi" w:eastAsia="Arial" w:hAnsiTheme="minorHAnsi" w:cs="Arial"/>
          <w:b/>
          <w:sz w:val="24"/>
          <w:szCs w:val="24"/>
        </w:rPr>
        <w:t>Departments Reporting to the President</w:t>
      </w:r>
    </w:p>
    <w:p w:rsidR="00630634" w:rsidRDefault="00630634" w:rsidP="00630634">
      <w:pPr>
        <w:jc w:val="both"/>
        <w:rPr>
          <w:rFonts w:asciiTheme="minorHAnsi" w:eastAsia="Arial" w:hAnsiTheme="minorHAnsi" w:cs="Arial"/>
          <w:sz w:val="24"/>
          <w:szCs w:val="24"/>
        </w:rPr>
      </w:pPr>
      <w:r w:rsidRPr="00630634">
        <w:rPr>
          <w:rFonts w:asciiTheme="minorHAnsi" w:eastAsia="Arial" w:hAnsiTheme="minorHAnsi" w:cs="Arial"/>
          <w:sz w:val="24"/>
          <w:szCs w:val="24"/>
        </w:rPr>
        <w:t>The following departments repor</w:t>
      </w:r>
      <w:r>
        <w:rPr>
          <w:rFonts w:asciiTheme="minorHAnsi" w:eastAsia="Arial" w:hAnsiTheme="minorHAnsi" w:cs="Arial"/>
          <w:sz w:val="24"/>
          <w:szCs w:val="24"/>
        </w:rPr>
        <w:t>t directly to the CHC President</w:t>
      </w:r>
    </w:p>
    <w:p w:rsidR="00630634" w:rsidRPr="00630634" w:rsidRDefault="00630634" w:rsidP="00E30CA3">
      <w:pPr>
        <w:pStyle w:val="ListParagraph"/>
        <w:numPr>
          <w:ilvl w:val="0"/>
          <w:numId w:val="22"/>
        </w:numPr>
        <w:jc w:val="both"/>
        <w:rPr>
          <w:rFonts w:asciiTheme="minorHAnsi" w:hAnsiTheme="minorHAnsi"/>
          <w:sz w:val="24"/>
          <w:szCs w:val="24"/>
        </w:rPr>
      </w:pPr>
      <w:r w:rsidRPr="00630634">
        <w:rPr>
          <w:rFonts w:asciiTheme="minorHAnsi" w:eastAsia="Arial" w:hAnsiTheme="minorHAnsi" w:cs="Arial"/>
          <w:sz w:val="24"/>
          <w:szCs w:val="24"/>
        </w:rPr>
        <w:t>Marketing and Public Relations – Responsible for all college media relations, advertising, publications, website, and social media.</w:t>
      </w:r>
    </w:p>
    <w:p w:rsidR="00630634" w:rsidRPr="00630634" w:rsidRDefault="00630634" w:rsidP="00E30CA3">
      <w:pPr>
        <w:pStyle w:val="ListParagraph"/>
        <w:numPr>
          <w:ilvl w:val="0"/>
          <w:numId w:val="22"/>
        </w:numPr>
        <w:jc w:val="both"/>
        <w:rPr>
          <w:rFonts w:asciiTheme="minorHAnsi" w:hAnsiTheme="minorHAnsi"/>
          <w:sz w:val="24"/>
          <w:szCs w:val="24"/>
        </w:rPr>
      </w:pPr>
      <w:r w:rsidRPr="00630634">
        <w:rPr>
          <w:rFonts w:asciiTheme="minorHAnsi" w:eastAsia="Arial" w:hAnsiTheme="minorHAnsi" w:cs="Arial"/>
          <w:sz w:val="24"/>
          <w:szCs w:val="24"/>
        </w:rPr>
        <w:t>Research, Planning and Institutional Effectiveness – Responsible for collecting, analyzing and reporting data, coordinating campus planning, and grants.</w:t>
      </w:r>
    </w:p>
    <w:p w:rsidR="00630634" w:rsidRPr="00630634" w:rsidRDefault="00630634" w:rsidP="00E30CA3">
      <w:pPr>
        <w:pStyle w:val="ListParagraph"/>
        <w:numPr>
          <w:ilvl w:val="0"/>
          <w:numId w:val="22"/>
        </w:numPr>
        <w:jc w:val="both"/>
        <w:rPr>
          <w:rFonts w:asciiTheme="minorHAnsi" w:hAnsiTheme="minorHAnsi"/>
          <w:sz w:val="24"/>
          <w:szCs w:val="24"/>
        </w:rPr>
      </w:pPr>
      <w:r w:rsidRPr="00630634">
        <w:rPr>
          <w:rFonts w:asciiTheme="minorHAnsi" w:eastAsia="Arial" w:hAnsiTheme="minorHAnsi" w:cs="Arial"/>
          <w:sz w:val="24"/>
          <w:szCs w:val="24"/>
        </w:rPr>
        <w:t>Resource Development – Responsible for raising private donations and administering Foundation funds.</w:t>
      </w:r>
    </w:p>
    <w:p w:rsidR="00AD1889" w:rsidRDefault="00136838">
      <w:r>
        <w:rPr>
          <w:rFonts w:ascii="Arial" w:eastAsia="Arial" w:hAnsi="Arial" w:cs="Arial"/>
          <w:b/>
        </w:rPr>
        <w:t>Staffing Information</w:t>
      </w:r>
    </w:p>
    <w:p w:rsidR="00630634" w:rsidRDefault="00630634">
      <w:pPr>
        <w:rPr>
          <w:rFonts w:ascii="Arial" w:eastAsia="Arial" w:hAnsi="Arial" w:cs="Arial"/>
          <w:b/>
        </w:rPr>
      </w:pPr>
      <w:r>
        <w:rPr>
          <w:rFonts w:ascii="Arial" w:eastAsia="Arial" w:hAnsi="Arial" w:cs="Arial"/>
          <w:color w:val="FF0000"/>
        </w:rPr>
        <w:t>Add content</w:t>
      </w: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p>
    <w:p w:rsidR="008D6ACD" w:rsidRDefault="008D6ACD" w:rsidP="008D6ACD">
      <w:pPr>
        <w:pStyle w:val="NoSpacing"/>
        <w:jc w:val="center"/>
        <w:rPr>
          <w:b/>
          <w:color w:val="00823B"/>
        </w:rPr>
      </w:pPr>
      <w:r>
        <w:rPr>
          <w:b/>
          <w:color w:val="00823B"/>
        </w:rPr>
        <w:lastRenderedPageBreak/>
        <w:t>Exhibit X.XX</w:t>
      </w:r>
      <w:r w:rsidRPr="008076DC">
        <w:rPr>
          <w:b/>
          <w:color w:val="00823B"/>
        </w:rPr>
        <w:t xml:space="preserve"> </w:t>
      </w:r>
      <w:r>
        <w:rPr>
          <w:b/>
          <w:color w:val="00823B"/>
        </w:rPr>
        <w:t>College Organizational Chart</w:t>
      </w:r>
    </w:p>
    <w:p w:rsidR="008D6ACD" w:rsidRPr="001975B6" w:rsidRDefault="008D6ACD" w:rsidP="008D6ACD">
      <w:pPr>
        <w:pStyle w:val="NoSpacing"/>
        <w:jc w:val="center"/>
        <w:rPr>
          <w:b/>
          <w:color w:val="00823B"/>
        </w:rPr>
      </w:pPr>
    </w:p>
    <w:p w:rsidR="008D6ACD" w:rsidRDefault="00356BC7" w:rsidP="008D6ACD">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group id="Group 59" o:spid="_x0000_s1026" style="width:468pt;height:471.75pt;mso-position-horizontal-relative:char;mso-position-vertical-relative:line" coordsize="10696,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top:3142;width:2736;height: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jD69AAAA2wAAAA8AAABkcnMvZG93bnJldi54bWxET8uqwjAQ3Qv+QxjBjWiqXItUo4gv3PoE&#10;d0MztsVmUpqo9e9vFoLLw3nPFo0pxYtqV1hWMBxEIIhTqwvOFJxP2/4EhPPIGkvLpOBDDhbzdmuG&#10;ibZvPtDr6DMRQtglqCD3vkqkdGlOBt3AVsSBu9vaoA+wzqSu8R3CTSlHURRLgwWHhhwrWuWUPo5P&#10;o2BD7npb9/4evIxxfN2dhoddelGq22mWUxCeGv8Tf917rSAO68OX8APk/B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eMPr0AAADbAAAADwAAAAAAAAAAAAAAAACfAgAAZHJz&#10;L2Rvd25yZXYueG1sUEsFBgAAAAAEAAQA9wAAAIkDAAAAAA==&#10;">
              <v:imagedata r:id="rId43" o:title=""/>
            </v:shape>
            <v:group id="Group 182" o:spid="_x0000_s1028" style="position:absolute;left:2660;top:1328;width:762;height:2410" coordorigin="2660,1328" coordsize="762,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83" o:spid="_x0000_s1029" style="position:absolute;left:2660;top:1328;width:762;height:2410;visibility:visible;mso-wrap-style:square;v-text-anchor:top" coordsize="762,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VcEA&#10;AADbAAAADwAAAGRycy9kb3ducmV2LnhtbESPQYvCMBSE7wv+h/AEb9t0PdRSjSKrgteqP+DRvG2L&#10;zUu3iU3990ZY2OMwM98wm91kOjHS4FrLCr6SFARxZXXLtYLb9fSZg3AeWWNnmRQ8ycFuO/vYYKFt&#10;4JLGi69FhLArUEHjfV9I6aqGDLrE9sTR+7GDQR/lUEs9YIhw08llmmbSYMtxocGevhuq7peHUVDm&#10;nIfp+JCn56o8jNlqf/8NQanFfNqvQXia/H/4r33WCrIl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P1XBAAAA2wAAAA8AAAAAAAAAAAAAAAAAmAIAAGRycy9kb3du&#10;cmV2LnhtbFBLBQYAAAAABAAEAPUAAACGAwAAAAA=&#10;" path="m758,l,2409r5,1l762,2,758,xe" fillcolor="#7e7e7e" stroked="f">
                <v:path arrowok="t" o:connecttype="custom" o:connectlocs="758,1328;0,3737;5,3738;762,1330;758,1328" o:connectangles="0,0,0,0,0"/>
              </v:shape>
              <v:shape id="Picture 184" o:spid="_x0000_s1030" type="#_x0000_t75" style="position:absolute;left:3346;top:727;width:3533;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u7BAAAA2wAAAA8AAABkcnMvZG93bnJldi54bWxEj0GLwjAUhO+C/yE8wZumKitLt1FEFLzq&#10;Lnp9Nq9NtXkpTaz135uFhT0OM/MNk617W4uOWl85VjCbJiCIc6crLhX8fO8nnyB8QNZYOyYFL/Kw&#10;Xg0HGabaPflI3SmUIkLYp6jAhNCkUvrckEU/dQ1x9ArXWgxRtqXULT4j3NZyniRLabHiuGCwoa2h&#10;/H56WAX57nL98I/zrcf6ujBn09nNpVBqPOo3XyAC9eE//Nc+aAXLBfx+iT9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ru7BAAAA2wAAAA8AAAAAAAAAAAAAAAAAnwIA&#10;AGRycy9kb3ducmV2LnhtbFBLBQYAAAAABAAEAPcAAACNAwAAAAA=&#10;">
                <v:imagedata r:id="rId44" o:title=""/>
              </v:shape>
            </v:group>
            <v:group id="Group 185" o:spid="_x0000_s1031" style="position:absolute;left:6805;top:1055;width:471;height:276" coordorigin="6805,1055" coordsize="4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86" o:spid="_x0000_s1032" style="position:absolute;left:6805;top:1055;width:471;height:276;visibility:visible;mso-wrap-style:square;v-text-anchor:top" coordsize="4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AyMIA&#10;AADbAAAADwAAAGRycy9kb3ducmV2LnhtbESP0WoCMRRE3wX/IVyhb5pVdJGtUUQQaksFtR9wu7nd&#10;XdzchCRd179vhIKPw8ycYVab3rSiIx8aywqmkwwEcWl1w5WCr8t+vAQRIrLG1jIpuFOAzXo4WGGh&#10;7Y1P1J1jJRKEQ4EK6hhdIWUoazIYJtYRJ+/HeoMxSV9J7fGW4KaVsyzLpcGG00KNjnY1ldfzr1Fw&#10;vGPTmU8nD9vWfefy3c+v/YdSL6N++woiUh+f4f/2m1aQL+Dx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8DIwgAAANsAAAAPAAAAAAAAAAAAAAAAAJgCAABkcnMvZG93&#10;bnJldi54bWxQSwUGAAAAAAQABAD1AAAAhwMAAAAA&#10;" path="m467,l,272r3,4l471,3,467,xe" fillcolor="#7e7e7e" stroked="f">
                <v:path arrowok="t" o:connecttype="custom" o:connectlocs="467,1055;0,1327;3,1331;471,1058;467,1055" o:connectangles="0,0,0,0,0"/>
              </v:shape>
            </v:group>
            <v:group id="Group 187" o:spid="_x0000_s1033" style="position:absolute;left:7271;top:402;width:3377;height:1308" coordorigin="7271,402" coordsize="3377,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88" o:spid="_x0000_s1034"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cRcUA&#10;AADbAAAADwAAAGRycy9kb3ducmV2LnhtbESPQWvCQBSE7wX/w/KEXkqzMQerMatIQeyprYk9eHtk&#10;n0kw+zZktzH9911B8DjMzDdMthlNKwbqXWNZwSyKQRCXVjdcKTgWu9cFCOeRNbaWScEfOdisJ08Z&#10;ptpe+UBD7isRIOxSVFB736VSurImgy6yHXHwzrY36IPsK6l7vAa4aWUSx3NpsOGwUGNH7zWVl/zX&#10;KChmCy6+LsflT7J7OX2bYo/5516p5+m4XYHwNPpH+N7+0Armb3D7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9xFxQAAANsAAAAPAAAAAAAAAAAAAAAAAJgCAABkcnMv&#10;ZG93bnJldi54bWxQSwUGAAAAAAQABAD1AAAAigMAAAAA&#10;" path="m3158,l1,,,1,,1090r218,218l3377,1308r,-2l3372,1306r,-2l222,1304r-3,-1l221,1303,6,1088r-1,l5,5,2,5,5,2r3156,l3158,xe" fillcolor="#7e7e7e" stroked="f">
                <v:path arrowok="t" o:connecttype="custom" o:connectlocs="3158,402;1,402;0,403;0,1492;218,1710;3377,1710;3377,1708;3372,1708;3372,1706;222,1706;219,1705;221,1705;6,1490;5,1490;5,407;2,407;5,404;3161,404;3158,402" o:connectangles="0,0,0,0,0,0,0,0,0,0,0,0,0,0,0,0,0,0,0"/>
              </v:shape>
              <v:shape id="Freeform 189" o:spid="_x0000_s1035"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N8EA&#10;AADbAAAADwAAAGRycy9kb3ducmV2LnhtbERPTYvCMBC9C/6HMIIX0VQPol1TWRZET6u29bC3oZlt&#10;S5tJabLa/ffmIHh8vO/dfjCtuFPvassKlosIBHFhdc2lgjw7zDcgnEfW2FomBf/kYJ+MRzuMtX3w&#10;le6pL0UIYRejgsr7LpbSFRUZdAvbEQfu1/YGfYB9KXWPjxBuWrmKorU0WHNoqLCjr4qKJv0zCrLl&#10;hrNzk29vq8Ps52KyI6bfR6Wmk+HzA4Snwb/FL/dJK1iHs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8SDfBAAAA2wAAAA8AAAAAAAAAAAAAAAAAmAIAAGRycy9kb3du&#10;cmV2LnhtbFBLBQYAAAAABAAEAPUAAACGAwAAAAA=&#10;" path="m3372,221r,1085l3374,1303r3,l3377,222r-4,l3372,221xe" fillcolor="#7e7e7e" stroked="f">
                <v:path arrowok="t" o:connecttype="custom" o:connectlocs="3372,623;3372,1708;3374,1705;3377,1705;3377,624;3373,624;3372,623" o:connectangles="0,0,0,0,0,0,0"/>
              </v:shape>
              <v:shape id="Freeform 190" o:spid="_x0000_s1036"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trMUA&#10;AADbAAAADwAAAGRycy9kb3ducmV2LnhtbESPQWvCQBSE7wX/w/IEL0U35hA0uooIYk+2TfTg7ZF9&#10;JsHs25DdJum/7xYKPQ4z8w2z3Y+mET11rrasYLmIQBAXVtdcKrjmp/kKhPPIGhvLpOCbHOx3k5ct&#10;ptoO/El95ksRIOxSVFB536ZSuqIig25hW+LgPWxn0AfZlVJ3OAS4aWQcRYk0WHNYqLClY0XFM/sy&#10;CvLlivP353V9i0+v9w+TnzG7nJWaTcfDBoSn0f+H/9pvWkGy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O2sxQAAANsAAAAPAAAAAAAAAAAAAAAAAJgCAABkcnMv&#10;ZG93bnJldi54bWxQSwUGAAAAAAQABAD1AAAAigMAAAAA&#10;" path="m3377,1303r-3,l3372,1306r5,l3377,1303xe" fillcolor="#7e7e7e" stroked="f">
                <v:path arrowok="t" o:connecttype="custom" o:connectlocs="3377,1705;3374,1705;3372,1708;3377,1708;3377,1705" o:connectangles="0,0,0,0,0"/>
              </v:shape>
              <v:shape id="Freeform 191" o:spid="_x0000_s1037"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S7MIA&#10;AADbAAAADwAAAGRycy9kb3ducmV2LnhtbERPPW/CMBDdK/EfrEPqUoFDBhpSDEJICCZaknTodoqv&#10;SUR8jmI3hH9fD0iMT+97vR1NKwbqXWNZwWIegSAurW64UlDkh1kCwnlkja1lUnAnB9vN5GWNqbY3&#10;vtCQ+UqEEHYpKqi971IpXVmTQTe3HXHgfm1v0AfYV1L3eAvhppVxFC2lwYZDQ40d7Wsqr9mfUZAv&#10;Es4/r8XqOz68/XyZ/IjZ+ajU63TcfYDwNPqn+OE+aQXvYX34E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9LswgAAANsAAAAPAAAAAAAAAAAAAAAAAJgCAABkcnMvZG93&#10;bnJldi54bWxQSwUGAAAAAAQABAD1AAAAhwMAAAAA&#10;" path="m221,1303r-2,l222,1304r-1,-1xe" fillcolor="#7e7e7e" stroked="f">
                <v:path arrowok="t" o:connecttype="custom" o:connectlocs="221,1705;219,1705;222,1706;221,1705" o:connectangles="0,0,0,0"/>
              </v:shape>
              <v:shape id="Freeform 192" o:spid="_x0000_s1038"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3d8UA&#10;AADbAAAADwAAAGRycy9kb3ducmV2LnhtbESPQWvCQBSE70L/w/IKvUjdxIOmqauUQkhPVhM9eHtk&#10;X5Ng9m3Ibk3677uFgsdhZr5hNrvJdOJGg2stK4gXEQjiyuqWawWnMntOQDiPrLGzTAp+yMFu+zDb&#10;YKrtyEe6Fb4WAcIuRQWN930qpasaMugWticO3pcdDPogh1rqAccAN51cRtFKGmw5LDTY03tD1bX4&#10;NgrKOOHy83p6OS+z+eVgyhyLfa7U0+P09grC0+Tv4f/2h1awju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3d3xQAAANsAAAAPAAAAAAAAAAAAAAAAAJgCAABkcnMv&#10;ZG93bnJldi54bWxQSwUGAAAAAAQABAD1AAAAigMAAAAA&#10;" path="m3372,1303r-3151,l222,1304r3150,l3372,1303xe" fillcolor="#7e7e7e" stroked="f">
                <v:path arrowok="t" o:connecttype="custom" o:connectlocs="3372,1705;221,1705;222,1706;3372,1706;3372,1705" o:connectangles="0,0,0,0,0"/>
              </v:shape>
              <v:shape id="Freeform 193" o:spid="_x0000_s1039"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pAMUA&#10;AADbAAAADwAAAGRycy9kb3ducmV2LnhtbESPQWvCQBSE70L/w/IKvUjdJAdNU1cphWBPVhM9eHtk&#10;X5Ng9m3Ibk3677uFgsdhZr5h1tvJdOJGg2stK4gXEQjiyuqWawWnMn9OQTiPrLGzTAp+yMF28zBb&#10;Y6btyEe6Fb4WAcIuQwWN930mpasaMugWticO3pcdDPogh1rqAccAN51MomgpDbYcFhrs6b2h6lp8&#10;GwVlnHL5eT29nJN8fjmYcofFfqfU0+P09grC0+Tv4f/2h1awSuD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ekAxQAAANsAAAAPAAAAAAAAAAAAAAAAAJgCAABkcnMv&#10;ZG93bnJldi54bWxQSwUGAAAAAAQABAD1AAAAigMAAAAA&#10;" path="m5,1087r,1l6,1088r-1,-1xe" fillcolor="#7e7e7e" stroked="f">
                <v:path arrowok="t" o:connecttype="custom" o:connectlocs="5,1489;5,1490;6,1490;5,1489" o:connectangles="0,0,0,0"/>
              </v:shape>
              <v:shape id="Freeform 194" o:spid="_x0000_s1040"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Mm8UA&#10;AADbAAAADwAAAGRycy9kb3ducmV2LnhtbESPQWvCQBSE70L/w/IKvZS6SQpWU9dQCsGe1Cb24O2R&#10;fU2C2bchu9X4712h4HGYmW+YZTaaTpxocK1lBfE0AkFcWd1yrWBf5i9zEM4ja+wsk4ILOchWD5Ml&#10;ptqe+ZtOha9FgLBLUUHjfZ9K6aqGDLqp7YmD92sHgz7IoZZ6wHOAm04mUTSTBlsOCw329NlQdSz+&#10;jIIynnO5Pe4XP0n+fNiZco3FZq3U0+P48Q7C0+jv4f/2l1bw9gq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UybxQAAANsAAAAPAAAAAAAAAAAAAAAAAJgCAABkcnMv&#10;ZG93bnJldi54bWxQSwUGAAAAAAQABAD1AAAAigMAAAAA&#10;" path="m3372,220r,1l3373,222r-1,-2xe" fillcolor="#7e7e7e" stroked="f">
                <v:path arrowok="t" o:connecttype="custom" o:connectlocs="3372,622;3372,623;3373,624;3372,622" o:connectangles="0,0,0,0"/>
              </v:shape>
              <v:shape id="Freeform 195" o:spid="_x0000_s1041"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U78UA&#10;AADbAAAADwAAAGRycy9kb3ducmV2LnhtbESPQWvCQBSE70L/w/IKvZS6SShWU9dQCsGe1Cb24O2R&#10;fU2C2bchu9X4712h4HGYmW+YZTaaTpxocK1lBfE0AkFcWd1yrWBf5i9zEM4ja+wsk4ILOchWD5Ml&#10;ptqe+ZtOha9FgLBLUUHjfZ9K6aqGDLqp7YmD92sHgz7IoZZ6wHOAm04mUTSTBlsOCw329NlQdSz+&#10;jIIynnO5Pe4XP0n+fNiZco3FZq3U0+P48Q7C0+jv4f/2l1bw9gq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NTvxQAAANsAAAAPAAAAAAAAAAAAAAAAAJgCAABkcnMv&#10;ZG93bnJldi54bWxQSwUGAAAAAAQABAD1AAAAigMAAAAA&#10;" path="m3377,220r-5,l3373,222r4,l3377,220xe" fillcolor="#7e7e7e" stroked="f">
                <v:path arrowok="t" o:connecttype="custom" o:connectlocs="3377,622;3372,622;3373,624;3377,624;3377,622" o:connectangles="0,0,0,0,0"/>
              </v:shape>
              <v:shape id="Freeform 196" o:spid="_x0000_s1042"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xdMUA&#10;AADbAAAADwAAAGRycy9kb3ducmV2LnhtbESPQWvCQBSE70L/w/IKvZS6SaBWU9dQCsGe1Cb24O2R&#10;fU2C2bchu9X4712h4HGYmW+YZTaaTpxocK1lBfE0AkFcWd1yrWBf5i9zEM4ja+wsk4ILOchWD5Ml&#10;ptqe+ZtOha9FgLBLUUHjfZ9K6aqGDLqp7YmD92sHgz7IoZZ6wHOAm04mUTSTBlsOCw329NlQdSz+&#10;jIIynnO5Pe4XP0n+fNiZco3FZq3U0+P48Q7C0+jv4f/2l1bw9gq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HF0xQAAANsAAAAPAAAAAAAAAAAAAAAAAJgCAABkcnMv&#10;ZG93bnJldi54bWxQSwUGAAAAAAQABAD1AAAAigMAAAAA&#10;" path="m3161,2l5,2r,3l3156,5r216,216l3372,220r5,l3377,218,3161,2xe" fillcolor="#7e7e7e" stroked="f">
                <v:path arrowok="t" o:connecttype="custom" o:connectlocs="3161,404;5,404;5,407;3156,407;3372,623;3372,622;3377,622;3377,620;3161,404" o:connectangles="0,0,0,0,0,0,0,0,0"/>
              </v:shape>
              <v:shape id="Freeform 197" o:spid="_x0000_s1043" style="position:absolute;left:7271;top:402;width:3377;height:1308;visibility:visible;mso-wrap-style:square;v-text-anchor:top" coordsize="337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vA8UA&#10;AADbAAAADwAAAGRycy9kb3ducmV2LnhtbESPQWvCQBSE7wX/w/KEXkqzMQerMatIQeyprYk9eHtk&#10;n0kw+zZktzH9911B8DjMzDdMthlNKwbqXWNZwSyKQRCXVjdcKTgWu9cFCOeRNbaWScEfOdisJ08Z&#10;ptpe+UBD7isRIOxSVFB736VSurImgy6yHXHwzrY36IPsK6l7vAa4aWUSx3NpsOGwUGNH7zWVl/zX&#10;KChmCy6+LsflT7J7OX2bYo/5516p5+m4XYHwNPpH+N7+0Are5nD7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u8DxQAAANsAAAAPAAAAAAAAAAAAAAAAAJgCAABkcnMv&#10;ZG93bnJldi54bWxQSwUGAAAAAAQABAD1AAAAigMAAAAA&#10;" path="m5,2l2,5r3,l5,2xe" fillcolor="#7e7e7e" stroked="f">
                <v:path arrowok="t" o:connecttype="custom" o:connectlocs="5,404;2,407;5,407;5,404" o:connectangles="0,0,0,0"/>
              </v:shape>
            </v:group>
            <v:group id="Group 198" o:spid="_x0000_s1044" style="position:absolute;left:2662;top:2441;width:4217;height:1299" coordorigin="2662,2441" coordsize="4217,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99" o:spid="_x0000_s1045" style="position:absolute;left:2662;top:3040;width:761;height:700;visibility:visible;mso-wrap-style:square;v-text-anchor:top" coordsize="7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cAA&#10;AADbAAAADwAAAGRycy9kb3ducmV2LnhtbERPPWvDMBDdC/kP4gLZGrkZUuNGCWkg0LV2C+12WGdL&#10;jXUylhw7+fXVUOj4eN+7w+w6caUhWM8KntYZCOLaa8utgo/q/JiDCBFZY+eZFNwowGG/eNhhof3E&#10;73QtYytSCIcCFZgY+0LKUBtyGNa+J05c4weHMcGhlXrAKYW7Tm6ybCsdWk4NBns6Gaov5egUNGhz&#10;+/ptqpP+auzPXdInjqNSq+V8fAERaY7/4j/3m1bwnMam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pcAAAADbAAAADwAAAAAAAAAAAAAAAACYAgAAZHJzL2Rvd25y&#10;ZXYueG1sUEsFBgAAAAAEAAQA9QAAAIUDAAAAAA==&#10;" path="m757,l,696r3,3l760,3,757,xe" fillcolor="#7e7e7e" stroked="f">
                <v:path arrowok="t" o:connecttype="custom" o:connectlocs="757,3040;0,3736;3,3739;760,3043;757,3040" o:connectangles="0,0,0,0,0"/>
              </v:shape>
              <v:shape id="Picture 200" o:spid="_x0000_s1046" type="#_x0000_t75" style="position:absolute;left:3346;top:2441;width:3533;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ETLFAAAA2wAAAA8AAABkcnMvZG93bnJldi54bWxEj0FrAjEUhO8F/0N4Qm81a8GuXY1iBaHt&#10;TdcK3h6b183SzcuapLr11zdCocdhZr5h5svetuJMPjSOFYxHGQjiyumGawX7cvMwBREissbWMSn4&#10;oQDLxeBujoV2F97SeRdrkSAcClRgYuwKKUNlyGIYuY44eZ/OW4xJ+lpqj5cEt618zLInabHhtGCw&#10;o7Wh6mv3bRW85y/Rl6dDNTHXj/yw1W+lzo5K3Q/71QxEpD7+h//ar1pB/gy3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EyxQAAANsAAAAPAAAAAAAAAAAAAAAA&#10;AJ8CAABkcnMvZG93bnJldi54bWxQSwUGAAAAAAQABAD3AAAAkQMAAAAA&#10;">
                <v:imagedata r:id="rId45" o:title=""/>
              </v:shape>
            </v:group>
            <v:group id="Group 201" o:spid="_x0000_s1047" style="position:absolute;left:6805;top:2917;width:470;height:128" coordorigin="6805,2917" coordsize="47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02" o:spid="_x0000_s1048" style="position:absolute;left:6805;top:2917;width:470;height:128;visibility:visible;mso-wrap-style:square;v-text-anchor:top" coordsize="47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SecUA&#10;AADbAAAADwAAAGRycy9kb3ducmV2LnhtbESPQWvCQBSE70L/w/IKvekmoRVJXUNbGhFES60Xb8/s&#10;MwnNvg3ZrUn/vSsIHoeZ+YaZZ4NpxJk6V1tWEE8iEMSF1TWXCvY/+XgGwnlkjY1lUvBPDrLFw2iO&#10;qbY9f9N550sRIOxSVFB536ZSuqIig25iW+LgnWxn0AfZlVJ32Ae4aWQSRVNpsOawUGFLHxUVv7s/&#10;oyBf4nOfHL7qo9mvTy/bTezeP3Olnh6Ht1cQngZ/D9/aK61gFsP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JJ5xQAAANsAAAAPAAAAAAAAAAAAAAAAAJgCAABkcnMv&#10;ZG93bnJldi54bWxQSwUGAAAAAAQABAD1AAAAigMAAAAA&#10;" path="m468,l,123r1,4l469,5,468,xe" fillcolor="#7e7e7e" stroked="f">
                <v:path arrowok="t" o:connecttype="custom" o:connectlocs="468,2917;0,3040;1,3044;469,2922;468,2917" o:connectangles="0,0,0,0,0"/>
              </v:shape>
            </v:group>
            <v:group id="Group 203" o:spid="_x0000_s1049" style="position:absolute;left:7271;top:2378;width:3377;height:1082" coordorigin="7271,2378" coordsize="3377,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04" o:spid="_x0000_s1050"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ruMIA&#10;AADbAAAADwAAAGRycy9kb3ducmV2LnhtbESPT4vCMBTE7wt+h/AEb2uqokhtKiJ0FVwP/rs/mmdb&#10;bF5Kk63db78RFjwOM/MbJln3phYdta6yrGAyjkAQ51ZXXCi4XrLPJQjnkTXWlknBLzlYp4OPBGNt&#10;n3yi7uwLESDsYlRQet/EUrq8JINubBvi4N1ta9AH2RZSt/gMcFPLaRQtpMGKw0KJDW1Lyh/nH6Ng&#10;RsfvrOOv42V3m+cR7jNzmE+UGg37zQqEp96/w//tvVawnMHr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2u4wgAAANsAAAAPAAAAAAAAAAAAAAAAAJgCAABkcnMvZG93&#10;bnJldi54bWxQSwUGAAAAAAQABAD1AAAAhwMAAAAA&#10;" path="m3195,l1,,,2,,900r181,182l3377,1082r,-3l3372,1079r,-1l183,1078,6,900r-1,l5,5,2,5,5,3r3193,l3195,xe" fillcolor="#7e7e7e" stroked="f">
                <v:path arrowok="t" o:connecttype="custom" o:connectlocs="3195,2378;1,2378;0,2380;0,3278;181,3460;3377,3460;3377,3457;3372,3457;3372,3456;183,3456;6,3278;5,3278;5,2383;2,2383;5,2381;3198,2381;3195,2378" o:connectangles="0,0,0,0,0,0,0,0,0,0,0,0,0,0,0,0,0"/>
              </v:shape>
              <v:shape id="Freeform 205" o:spid="_x0000_s1051"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zzMIA&#10;AADbAAAADwAAAGRycy9kb3ducmV2LnhtbESPT4vCMBTE74LfITzBm6auq0g1iixUBdeD/+6P5tkW&#10;m5fSxFq//UZY8DjMzG+Yxao1pWiodoVlBaNhBII4tbrgTMHlnAxmIJxH1lhaJgUvcrBadjsLjLV9&#10;8pGak89EgLCLUUHufRVL6dKcDLqhrYiDd7O1QR9knUld4zPATSm/omgqDRYcFnKs6Cen9H56GAVj&#10;OvwmDW8O5+11kka4S8x+MlKq32vXcxCeWv8J/7d3WsHsG95fw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vPMwgAAANsAAAAPAAAAAAAAAAAAAAAAAJgCAABkcnMvZG93&#10;bnJldi54bWxQSwUGAAAAAAQABAD1AAAAhwMAAAAA&#10;" path="m3372,183r,896l3374,1077r3,l3377,184r-4,l3372,183xe" fillcolor="#7e7e7e" stroked="f">
                <v:path arrowok="t" o:connecttype="custom" o:connectlocs="3372,2561;3372,3457;3374,3455;3377,3455;3377,2562;3373,2562;3372,2561" o:connectangles="0,0,0,0,0,0,0"/>
              </v:shape>
              <v:shape id="Freeform 206" o:spid="_x0000_s1052"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WV8EA&#10;AADbAAAADwAAAGRycy9kb3ducmV2LnhtbESPT4vCMBTE7wt+h/AEb2uq0kWqUUSoCqsH/90fzbMt&#10;Ni+libV+e7Mg7HGYmd8w82VnKtFS40rLCkbDCARxZnXJuYLLOf2egnAeWWNlmRS8yMFy0fuaY6Lt&#10;k4/UnnwuAoRdggoK7+tESpcVZNANbU0cvJttDPogm1zqBp8Bbio5jqIfabDksFBgTeuCsvvpYRRM&#10;6LBPW94czttrnEW4S81vPFJq0O9WMxCeOv8f/rR3WsE0hr8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6VlfBAAAA2wAAAA8AAAAAAAAAAAAAAAAAmAIAAGRycy9kb3du&#10;cmV2LnhtbFBLBQYAAAAABAAEAPUAAACGAwAAAAA=&#10;" path="m3377,1077r-3,l3372,1079r5,l3377,1077xe" fillcolor="#7e7e7e" stroked="f">
                <v:path arrowok="t" o:connecttype="custom" o:connectlocs="3377,3455;3374,3455;3372,3457;3377,3457;3377,3455" o:connectangles="0,0,0,0,0"/>
              </v:shape>
              <v:shape id="Freeform 207" o:spid="_x0000_s1053"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IIMEA&#10;AADbAAAADwAAAGRycy9kb3ducmV2LnhtbESPzarCMBSE94LvEI5wd5qqKFKNIkJVuLrwb39ojm2x&#10;OSlNrL1vfyMILoeZ+YZZrFpTioZqV1hWMBxEIIhTqwvOFFwvSX8GwnlkjaVlUvBHDlbLbmeBsbYv&#10;PlFz9pkIEHYxKsi9r2IpXZqTQTewFXHw7rY26IOsM6lrfAW4KeUoiqbSYMFhIceKNjmlj/PTKBjT&#10;8ZA0vD1edrdJGuE+Mb+ToVI/vXY9B+Gp9d/wp73XCmZTeH8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yCDBAAAA2wAAAA8AAAAAAAAAAAAAAAAAmAIAAGRycy9kb3du&#10;cmV2LnhtbFBLBQYAAAAABAAEAPUAAACGAwAAAAA=&#10;" path="m3372,1077r-3190,l183,1078r3189,l3372,1077xe" fillcolor="#7e7e7e" stroked="f">
                <v:path arrowok="t" o:connecttype="custom" o:connectlocs="3372,3455;182,3455;183,3456;3372,3456;3372,3455" o:connectangles="0,0,0,0,0"/>
              </v:shape>
              <v:shape id="Freeform 208" o:spid="_x0000_s1054"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tu8IA&#10;AADbAAAADwAAAGRycy9kb3ducmV2LnhtbESPQYvCMBSE7wv+h/AEb9tUxVW6RhGhKrge1N37o3nb&#10;FpuX0sRa/70RBI/DzHzDzJedqURLjSstKxhGMQjizOqScwW/5/RzBsJ5ZI2VZVJwJwfLRe9jjom2&#10;Nz5Se/K5CBB2CSoovK8TKV1WkEEX2Zo4eP+2MeiDbHKpG7wFuKnkKI6/pMGSw0KBNa0Lyi6nq1Ew&#10;psNP2vLmcN7+TbIYd6nZT4ZKDfrd6huEp86/w6/2TiuYTeH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G27wgAAANsAAAAPAAAAAAAAAAAAAAAAAJgCAABkcnMvZG93&#10;bnJldi54bWxQSwUGAAAAAAQABAD1AAAAhwMAAAAA&#10;" path="m5,899r,1l6,900,5,899xe" fillcolor="#7e7e7e" stroked="f">
                <v:path arrowok="t" o:connecttype="custom" o:connectlocs="5,3277;5,3278;6,3278;5,3277" o:connectangles="0,0,0,0"/>
              </v:shape>
              <v:shape id="Freeform 209" o:spid="_x0000_s1055"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5yb8A&#10;AADbAAAADwAAAGRycy9kb3ducmV2LnhtbERPy4rCMBTdC/5DuMLsNFVxKNW0iFAVZlz42l+aa1ts&#10;bkoTa+fvJ4uBWR7Oe5MNphE9da62rGA+i0AQF1bXXCq4XfNpDMJ5ZI2NZVLwQw6ydDzaYKLtm8/U&#10;X3wpQgi7BBVU3reJlK6oyKCb2ZY4cA/bGfQBdqXUHb5DuGnkIoo+pcGaQ0OFLe0qKp6Xl1GwpNN3&#10;3vP+dD3cV0WEx9x8reZKfUyG7RqEp8H/i//cR60gDmPDl/ADZ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JvwAAANsAAAAPAAAAAAAAAAAAAAAAAJgCAABkcnMvZG93bnJl&#10;di54bWxQSwUGAAAAAAQABAD1AAAAhAMAAAAA&#10;" path="m3198,3l5,3r,2l3194,5r179,179l3377,184r,-2l3198,3xe" fillcolor="#7e7e7e" stroked="f">
                <v:path arrowok="t" o:connecttype="custom" o:connectlocs="3198,2381;5,2381;5,2383;3194,2383;3373,2562;3377,2562;3377,2560;3198,2381" o:connectangles="0,0,0,0,0,0,0,0"/>
              </v:shape>
              <v:shape id="Freeform 210" o:spid="_x0000_s1056" style="position:absolute;left:7271;top:2378;width:3377;height:1082;visibility:visible;mso-wrap-style:square;v-text-anchor:top" coordsize="33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cUsIA&#10;AADbAAAADwAAAGRycy9kb3ducmV2LnhtbESPQYvCMBSE7wv+h/AEb2uq4lK7RhGhKrge1N37o3nb&#10;FpuX0sRa/70RBI/DzHzDzJedqURLjSstKxgNIxDEmdUl5wp+z+lnDMJ5ZI2VZVJwJwfLRe9jjom2&#10;Nz5Se/K5CBB2CSoovK8TKV1WkEE3tDVx8P5tY9AH2eRSN3gLcFPJcRR9SYMlh4UCa1oXlF1OV6Ng&#10;QoeftOXN4bz9m2YR7lKzn46UGvS71TcIT51/h1/tnVYQz+D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1xSwgAAANsAAAAPAAAAAAAAAAAAAAAAAJgCAABkcnMvZG93&#10;bnJldi54bWxQSwUGAAAAAAQABAD1AAAAhwMAAAAA&#10;" path="m5,3l2,5r3,l5,3xe" fillcolor="#7e7e7e" stroked="f">
                <v:path arrowok="t" o:connecttype="custom" o:connectlocs="5,2381;2,2383;5,2383;5,2381" o:connectangles="0,0,0,0"/>
              </v:shape>
            </v:group>
            <v:group id="Group 211" o:spid="_x0000_s1057" style="position:absolute;left:2662;top:3736;width:801;height:1116" coordorigin="2662,3736" coordsize="801,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12" o:spid="_x0000_s1058" style="position:absolute;left:2662;top:3736;width:801;height:1116;visibility:visible;mso-wrap-style:square;v-text-anchor:top" coordsize="80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YLcQA&#10;AADbAAAADwAAAGRycy9kb3ducmV2LnhtbESPQWvCQBSE7wX/w/KEXorZpFixaVbRQqF4KBoFr4/s&#10;a5KafRuyW5P8e1co9DjMzDdMth5MI67UudqygiSKQRAXVtdcKjgdP2ZLEM4ja2wsk4KRHKxXk4cM&#10;U217PtA196UIEHYpKqi8b1MpXVGRQRfZljh437Yz6IPsSqk77APcNPI5jhfSYM1hocKW3isqLvmv&#10;UZA/uaEpabuT4959zX/OF0peYqUep8PmDYSnwf+H/9qfWsFrA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C3EAAAA2wAAAA8AAAAAAAAAAAAAAAAAmAIAAGRycy9k&#10;b3ducmV2LnhtbFBLBQYAAAAABAAEAPUAAACJAwAAAAA=&#10;" path="m3,l,3,796,1116r4,-4l3,xe" fillcolor="#7e7e7e" stroked="f">
                <v:path arrowok="t" o:connecttype="custom" o:connectlocs="3,3736;0,3739;796,4852;800,4848;3,3736" o:connectangles="0,0,0,0,0"/>
              </v:shape>
            </v:group>
            <v:group id="Group 213" o:spid="_x0000_s1059" style="position:absolute;left:3460;top:4285;width:3387;height:142" coordorigin="3460,4285" coordsize="338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14" o:spid="_x0000_s1060" style="position:absolute;left:3460;top:4285;width:3387;height:142;visibility:visible;mso-wrap-style:square;v-text-anchor:top" coordsize="338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Fx8QA&#10;AADbAAAADwAAAGRycy9kb3ducmV2LnhtbESPQWvCQBSE70L/w/KEXsRsWm2p0VVKiMWT0FTvr9ln&#10;Esy+DdltjP/eLQgeh5n5hlltBtOInjpXW1bwEsUgiAuray4VHH620w8QziNrbCyTgis52KyfRitM&#10;tL3wN/W5L0WAsEtQQeV9m0jpiooMusi2xME72c6gD7Irpe7wEuCmka9x/C4N1hwWKmwprag4539G&#10;wZ7N12Ru9+l58jb8HlqX5cciU+p5PHwuQXga/CN8b++0gsUM/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BcfEAAAA2wAAAA8AAAAAAAAAAAAAAAAAmAIAAGRycy9k&#10;b3ducmV2LnhtbFBLBQYAAAAABAAEAPUAAACJAwAAAAA=&#10;" path="m3386,l,,141,142r3105,l3386,xe" fillcolor="#dee8c9" stroked="f">
                <v:path arrowok="t" o:connecttype="custom" o:connectlocs="3386,4285;0,4285;141,4427;3246,4427;3386,4285" o:connectangles="0,0,0,0,0"/>
              </v:shape>
            </v:group>
            <v:group id="Group 215" o:spid="_x0000_s1061" style="position:absolute;left:3460;top:5273;width:3387;height:141" coordorigin="3460,5273" coordsize="3387,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16" o:spid="_x0000_s1062" style="position:absolute;left:3460;top:5273;width:3387;height:141;visibility:visible;mso-wrap-style:square;v-text-anchor:top" coordsize="338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EgcYA&#10;AADbAAAADwAAAGRycy9kb3ducmV2LnhtbESPQWvCQBSE7wX/w/KEXoJuFCw1dRNEEISCpVYLvb1m&#10;n0k0+zZkNzH9992C0OMwM98wq2wwteipdZVlBbNpDII4t7riQsHxYzt5BuE8ssbaMin4IQdZOnpY&#10;YaLtjd+pP/hCBAi7BBWU3jeJlC4vyaCb2oY4eGfbGvRBtoXULd4C3NRyHsdP0mDFYaHEhjYl5ddD&#10;ZxTMo+gtmn1uvrCKsOu7y+l7/1or9Tge1i8gPA3+P3xv77SC5QL+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zEgcYAAADbAAAADwAAAAAAAAAAAAAAAACYAgAAZHJz&#10;L2Rvd25yZXYueG1sUEsFBgAAAAAEAAQA9QAAAIsDAAAAAA==&#10;" path="m3246,l141,,,140r3386,l3246,xe" fillcolor="#acb697" stroked="f">
                <v:path arrowok="t" o:connecttype="custom" o:connectlocs="3246,5273;141,5273;0,5413;3386,5413;3246,5273" o:connectangles="0,0,0,0,0"/>
              </v:shape>
            </v:group>
            <v:group id="Group 217" o:spid="_x0000_s1063" style="position:absolute;left:3460;top:4285;width:142;height:1128" coordorigin="3460,4285" coordsize="14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18" o:spid="_x0000_s1064" style="position:absolute;left:3460;top:4285;width:142;height:1128;visibility:visible;mso-wrap-style:square;v-text-anchor:top" coordsize="14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dqsIA&#10;AADbAAAADwAAAGRycy9kb3ducmV2LnhtbESPzWrDMBCE74W8g9hAb42UFvLjWA5poJBbSVrIdbE2&#10;toi1MpISu29fFQo5DjPzDVNuR9eJO4VoPWuYzxQI4toby42G76+PlxWImJANdp5Jww9F2FaTpxIL&#10;4wc+0v2UGpEhHAvU0KbUF1LGuiWHceZ74uxdfHCYsgyNNAGHDHedfFVqIR1azgst9rRvqb6ebk5D&#10;t/A2qP3RntVN1sPnmzf8ftD6eTruNiASjekR/m8fjIb1Ev6+5B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l2qwgAAANsAAAAPAAAAAAAAAAAAAAAAAJgCAABkcnMvZG93&#10;bnJldi54bWxQSwUGAAAAAAQABAD1AAAAhwMAAAAA&#10;" path="m,l,1128,141,988r,-846l,xe" fillcolor="#e6eed6" stroked="f">
                <v:path arrowok="t" o:connecttype="custom" o:connectlocs="0,4285;0,5413;141,5273;141,4427;0,4285" o:connectangles="0,0,0,0,0"/>
              </v:shape>
            </v:group>
            <v:group id="Group 219" o:spid="_x0000_s1065" style="position:absolute;left:6706;top:4285;width:141;height:1128" coordorigin="6706,4285" coordsize="1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20" o:spid="_x0000_s1066" style="position:absolute;left:6706;top:4285;width:141;height:1128;visibility:visible;mso-wrap-style:square;v-text-anchor:top" coordsize="141,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0VMEA&#10;AADbAAAADwAAAGRycy9kb3ducmV2LnhtbESPQYvCMBSE74L/IbyFvWmqsGK7RimCICwIVtHro3nb&#10;lm1eahK1+++NIHgcZuYbZrHqTStu5HxjWcFknIAgLq1uuFJwPGxGcxA+IGtsLZOCf/KwWg4HC8y0&#10;vfOebkWoRISwz1BBHUKXSenLmgz6se2Io/drncEQpaukdniPcNPKaZLMpMGG40KNHa1rKv+Kq1Fw&#10;KbQPJzefuK35yn31k+/onCv1+dHn3yAC9eEdfrW3WkGa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LdFTBAAAA2wAAAA8AAAAAAAAAAAAAAAAAmAIAAGRycy9kb3du&#10;cmV2LnhtbFBLBQYAAAAABAAEAPUAAACGAwAAAAA=&#10;" path="m140,l,142,,988r140,140l140,xe" fillcolor="#808870" stroked="f">
                <v:path arrowok="t" o:connecttype="custom" o:connectlocs="140,4285;0,4427;0,5273;140,5413;140,4285" o:connectangles="0,0,0,0,0"/>
              </v:shape>
            </v:group>
            <v:group id="Group 221" o:spid="_x0000_s1067" style="position:absolute;left:3457;top:4283;width:3392;height:1133" coordorigin="3457,4283" coordsize="3392,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22" o:spid="_x0000_s1068"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MVr0A&#10;AADcAAAADwAAAGRycy9kb3ducmV2LnhtbERPTYvCMBC9L/gfwgje1lTBVatRRBC9rornsRmbYjOp&#10;TbT13xtB8DaP9znzZWtL8aDaF44VDPoJCOLM6YJzBcfD5ncCwgdkjaVjUvAkD8tF52eOqXYN/9Nj&#10;H3IRQ9inqMCEUKVS+syQRd93FXHkLq62GCKsc6lrbGK4LeUwSf6kxYJjg8GK1oay6/5uFWDFu8as&#10;pizp1JzL2/Z80KOxUr1uu5qBCNSGr/jj3uk4PxnA+5l4gVy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YNMVr0AAADcAAAADwAAAAAAAAAAAAAAAACYAgAAZHJzL2Rvd25yZXYu&#10;eG1sUEsFBgAAAAAEAAQA9QAAAIIDAAAAAA==&#10;" path="m3391,l1,,,1,,1133r5,l1,1129r4,-4l5,8,1,5,5,1r3386,l3391,xe" fillcolor="#7e7e7e" stroked="f">
                <v:path arrowok="t" o:connecttype="custom" o:connectlocs="3391,4283;1,4283;0,4284;0,5416;5,5416;1,5412;5,5408;5,4291;1,4288;5,4284;3391,4284;3391,4283" o:connectangles="0,0,0,0,0,0,0,0,0,0,0,0"/>
              </v:shape>
              <v:shape id="Freeform 223" o:spid="_x0000_s1069"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SIb8A&#10;AADcAAAADwAAAGRycy9kb3ducmV2LnhtbERPTWvCQBC9F/wPywi9NRsDbTW6ihREr1XxPMmO2WB2&#10;Nma3Sfz3bqHQ2zze56w2o21ET52vHSuYJSkI4tLpmisF59PubQ7CB2SNjWNS8CAPm/XkZYW5dgN/&#10;U38MlYgh7HNUYEJocyl9aciiT1xLHLmr6yyGCLtK6g6HGG4bmaXph7RYc2ww2NKXofJ2/LEKsOXD&#10;YLYLlnQZiua+L076/VOp1+m4XYIINIZ/8Z/7oOP8NIPf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dIhvwAAANwAAAAPAAAAAAAAAAAAAAAAAJgCAABkcnMvZG93bnJl&#10;di54bWxQSwUGAAAAAAQABAD1AAAAhAMAAAAA&#10;" path="m3,1128r-2,1l5,1133r2,-3l5,1130r-2,-2xe" fillcolor="#7e7e7e" stroked="f">
                <v:path arrowok="t" o:connecttype="custom" o:connectlocs="3,5411;1,5412;5,5416;7,5413;5,5413;3,5411" o:connectangles="0,0,0,0,0,0"/>
              </v:shape>
              <v:shape id="Freeform 224" o:spid="_x0000_s1070"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3usAA&#10;AADcAAAADwAAAGRycy9kb3ducmV2LnhtbERPTWvCQBC9F/oflil4aza1tLbRVaRQzFUjnifZMRua&#10;nY3ZbRL/vVsQepvH+5zVZrKtGKj3jWMFL0kKgrhyuuFawbH4fv4A4QOyxtYxKbiSh8368WGFmXYj&#10;72k4hFrEEPYZKjAhdJmUvjJk0SeuI47c2fUWQ4R9LXWPYwy3rZyn6bu02HBsMNjRl6Hq5/BrFWDH&#10;+Wi2nyzpNJbtZVcW+m2h1Oxp2i5BBJrCv/juznWcn77C3zPxAr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13usAAAADcAAAADwAAAAAAAAAAAAAAAACYAgAAZHJzL2Rvd25y&#10;ZXYueG1sUEsFBgAAAAAEAAQA9QAAAIUDAAAAAA==&#10;" path="m3383,1128r-3373,l5,1133r3383,l3383,1128xe" fillcolor="#7e7e7e" stroked="f">
                <v:path arrowok="t" o:connecttype="custom" o:connectlocs="3383,5411;10,5411;5,5416;3388,5416;3383,5411" o:connectangles="0,0,0,0,0"/>
              </v:shape>
              <v:shape id="Freeform 225" o:spid="_x0000_s1071"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vzsAA&#10;AADcAAAADwAAAGRycy9kb3ducmV2LnhtbERPTWvCQBC9F/oflil4azaVtrbRVaRQzFUjnifZMRua&#10;nY3ZbRL/vVsQepvH+5zVZrKtGKj3jWMFL0kKgrhyuuFawbH4fv4A4QOyxtYxKbiSh8368WGFmXYj&#10;72k4hFrEEPYZKjAhdJmUvjJk0SeuI47c2fUWQ4R9LXWPYwy3rZyn6bu02HBsMNjRl6Hq5/BrFWDH&#10;+Wi2nyzpNJbtZVcW+m2h1Oxp2i5BBJrCv/juznWcn77C3zPxAr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TvzsAAAADcAAAADwAAAAAAAAAAAAAAAACYAgAAZHJzL2Rvd25y&#10;ZXYueG1sUEsFBgAAAAAEAAQA9QAAAIUDAAAAAA==&#10;" path="m3250,989r-3,2l3388,1133r2,-3l3387,1130r,-6l3253,992r-3,l3251,991r,-1l3250,989xe" fillcolor="#7e7e7e" stroked="f">
                <v:path arrowok="t" o:connecttype="custom" o:connectlocs="3250,5272;3247,5274;3388,5416;3390,5413;3387,5413;3387,5407;3253,5275;3250,5275;3251,5274;3251,5273;3250,5272" o:connectangles="0,0,0,0,0,0,0,0,0,0,0"/>
              </v:shape>
              <v:shape id="Freeform 226" o:spid="_x0000_s1072"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Vb8A&#10;AADcAAAADwAAAGRycy9kb3ducmV2LnhtbERPS2vCQBC+F/wPyxR6q5sWfDS6hlAozdUonsfsNBvM&#10;zsbs1sR/7wqCt/n4nrPORtuKC/W+cazgY5qAIK6cbrhWsN/9vC9B+ICssXVMCq7kIdtMXtaYajfw&#10;li5lqEUMYZ+iAhNCl0rpK0MW/dR1xJH7c73FEGFfS93jEMNtKz+TZC4tNhwbDHb0bag6lf9WAXZc&#10;DCb/YkmH4dief487PVso9fY65isQgcbwFD/chY7zkxncn4kXyM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uEpVvwAAANwAAAAPAAAAAAAAAAAAAAAAAJgCAABkcnMvZG93bnJl&#10;di54bWxQSwUGAAAAAAQABAD1AAAAhAMAAAAA&#10;" path="m3391,1129r-3,4l3391,1133r,-4xe" fillcolor="#7e7e7e" stroked="f">
                <v:path arrowok="t" o:connecttype="custom" o:connectlocs="3391,5412;3388,5416;3391,5416;3391,5412" o:connectangles="0,0,0,0"/>
              </v:shape>
              <v:shape id="Freeform 227" o:spid="_x0000_s1073"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UIr0A&#10;AADcAAAADwAAAGRycy9kb3ducmV2LnhtbERPy6rCMBDdC/5DGOHuNFW4PqpRRJDr1geux2Zsis2k&#10;NtH2/r0RBHdzOM9ZrFpbiifVvnCsYDhIQBBnThecKzgdt/0pCB+QNZaOScE/eVgtu50Fpto1vKfn&#10;IeQihrBPUYEJoUql9Jkhi37gKuLIXV1tMURY51LX2MRwW8pRkoylxYJjg8GKNoay2+FhFWDFu8as&#10;Zyzp3FzK+9/lqH8nSv302vUcRKA2fMUf907H+ckY3s/EC+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mrUIr0AAADcAAAADwAAAAAAAAAAAAAAAACYAgAAZHJzL2Rvd25yZXYu&#10;eG1sUEsFBgAAAAAEAAQA9QAAAIIDAAAAAA==&#10;" path="m5,1125r-2,3l5,1130r,-5xe" fillcolor="#7e7e7e" stroked="f">
                <v:path arrowok="t" o:connecttype="custom" o:connectlocs="5,5408;3,5411;5,5413;5,5408" o:connectangles="0,0,0,0"/>
              </v:shape>
              <v:shape id="Freeform 228" o:spid="_x0000_s1074"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xub0A&#10;AADcAAAADwAAAGRycy9kb3ducmV2LnhtbERPy6rCMBDdC/5DGOHuNFW4PqpRRJDr1geux2Zsis2k&#10;NtH2/r0RBHdzOM9ZrFpbiifVvnCsYDhIQBBnThecKzgdt/0pCB+QNZaOScE/eVgtu50Fpto1vKfn&#10;IeQihrBPUYEJoUql9Jkhi37gKuLIXV1tMURY51LX2MRwW8pRkoylxYJjg8GKNoay2+FhFWDFu8as&#10;Zyzp3FzK+9/lqH8nSv302vUcRKA2fMUf907H+ckE3s/EC+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SZxub0AAADcAAAADwAAAAAAAAAAAAAAAACYAgAAZHJzL2Rvd25yZXYu&#10;eG1sUEsFBgAAAAAEAAQA9QAAAIIDAAAAAA==&#10;" path="m142,990l5,1125r,5l7,1130,144,992r-1,l142,991r,-1xe" fillcolor="#7e7e7e" stroked="f">
                <v:path arrowok="t" o:connecttype="custom" o:connectlocs="142,5273;5,5408;5,5413;7,5413;144,5275;143,5275;142,5274;142,5273" o:connectangles="0,0,0,0,0,0,0,0"/>
              </v:shape>
              <v:shape id="Freeform 229" o:spid="_x0000_s1075"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ly8IA&#10;AADcAAAADwAAAGRycy9kb3ducmV2LnhtbESPQW/CMAyF75P4D5GRdhspk7ZBIa3QJDSuA8TZNKap&#10;aJzSBNr9+/kwaTdb7/m9z+ty9K16UB+bwAbmswwUcRVsw7WB42H7sgAVE7LFNjAZ+KEIZTF5WmNu&#10;w8Df9NinWkkIxxwNuJS6XOtYOfIYZ6EjFu0Seo9J1r7WtsdBwn2rX7PsXXtsWBocdvTpqLru794A&#10;drwb3GbJmk7Dub19nQ/27cOY5+m4WYFKNKZ/89/1zgp+JrTyjEy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XLwgAAANwAAAAPAAAAAAAAAAAAAAAAAJgCAABkcnMvZG93&#10;bnJldi54bWxQSwUGAAAAAAQABAD1AAAAhwMAAAAA&#10;" path="m3387,1124r,6l3389,1128r1,l3387,1124xe" fillcolor="#7e7e7e" stroked="f">
                <v:path arrowok="t" o:connecttype="custom" o:connectlocs="3387,5407;3387,5413;3389,5411;3390,5411;3387,5407" o:connectangles="0,0,0,0,0"/>
              </v:shape>
              <v:shape id="Freeform 230" o:spid="_x0000_s1076"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UL8A&#10;AADcAAAADwAAAGRycy9kb3ducmV2LnhtbERPTWvCQBC9F/wPywi9NRsLbTW6ighiro3ieZIds8Hs&#10;bMxuTfz3bqHQ2zze56w2o23FnXrfOFYwS1IQxJXTDdcKTsf92xyED8gaW8ek4EEeNuvJywoz7Qb+&#10;pnsRahFD2GeowITQZVL6ypBFn7iOOHIX11sMEfa11D0OMdy28j1NP6XFhmODwY52hqpr8WMVYMf5&#10;YLYLlnQeyvZ2KI/640up1+m4XYIINIZ/8Z8713F+uoDf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9UBQvwAAANwAAAAPAAAAAAAAAAAAAAAAAJgCAABkcnMvZG93bnJl&#10;di54bWxQSwUGAAAAAAQABAD1AAAAhAMAAAAA&#10;" path="m3390,1128r-1,l3387,1130r3,l3391,1129r-1,-1xe" fillcolor="#7e7e7e" stroked="f">
                <v:path arrowok="t" o:connecttype="custom" o:connectlocs="3390,5411;3389,5411;3387,5413;3390,5413;3391,5412;3390,5411" o:connectangles="0,0,0,0,0,0"/>
              </v:shape>
              <v:shape id="Freeform 231" o:spid="_x0000_s1077"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EMIA&#10;AADcAAAADwAAAGRycy9kb3ducmV2LnhtbESPT2/CMAzF70j7DpEncYMUpMHWERBCmsaVP+LsNl5T&#10;rXG6JqPl2+MDEjdb7/m9n1ebwTfqSl2sAxuYTTNQxGWwNVcGzqevyTuomJAtNoHJwI0ibNYvoxXm&#10;NvR8oOsxVUpCOOZowKXU5lrH0pHHOA0tsWg/ofOYZO0qbTvsJdw3ep5lC+2xZmlw2NLOUfl7/PcG&#10;sOV977YfrOnSF83fd3Gyb0tjxq/D9hNUoiE9zY/rvRX8meDLMzKB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8QwgAAANwAAAAPAAAAAAAAAAAAAAAAAJgCAABkcnMvZG93&#10;bnJldi54bWxQSwUGAAAAAAQABAD1AAAAhwMAAAAA&#10;" path="m3391,5r-4,4l3387,1124r4,5l3391,5xe" fillcolor="#7e7e7e" stroked="f">
                <v:path arrowok="t" o:connecttype="custom" o:connectlocs="3391,4288;3387,4292;3387,5407;3391,5412;3391,4288" o:connectangles="0,0,0,0,0"/>
              </v:shape>
              <v:shape id="Freeform 232" o:spid="_x0000_s1078"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ai8AA&#10;AADcAAAADwAAAGRycy9kb3ducmV2LnhtbERPyWrDMBC9F/oPYgq51bILWepaCaEQ4muckPPEmlqm&#10;1si11Nj5+6hQyG0eb51iM9lOXGnwrWMFWZKCIK6dbrlRcDruXlcgfEDW2DkmBTfysFk/PxWYazfy&#10;ga5VaEQMYZ+jAhNCn0vpa0MWfeJ64sh9ucFiiHBopB5wjOG2k29pupAWW44NBnv6NFR/V79WAfZc&#10;jmb7zpLO46X72V+Oer5UavYybT9ABJrCQ/zvLnWcn2Xw90y8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rai8AAAADcAAAADwAAAAAAAAAAAAAAAACYAgAAZHJzL2Rvd25y&#10;ZXYueG1sUEsFBgAAAAAEAAQA9QAAAIUDAAAAAA==&#10;" path="m143,989r-1,1l142,991r1,1l144,992r1,-1l143,989xe" fillcolor="#7e7e7e" stroked="f">
                <v:path arrowok="t" o:connecttype="custom" o:connectlocs="143,5272;142,5273;142,5274;143,5275;144,5275;145,5274;143,5272" o:connectangles="0,0,0,0,0,0,0"/>
              </v:shape>
              <v:shape id="Freeform 233" o:spid="_x0000_s1079"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E/MAA&#10;AADcAAAADwAAAGRycy9kb3ducmV2LnhtbERPyWrDMBC9F/IPYgK5NbIN6eJaNqYQkmuT0vPEmlom&#10;1six1Nj5+6hQ6G0eb52imm0vrjT6zrGCdJ2AIG6c7rhV8HncPr6A8AFZY++YFNzIQ1UuHgrMtZv4&#10;g66H0IoYwj5HBSaEIZfSN4Ys+rUbiCP37UaLIcKxlXrEKYbbXmZJ8iQtdhwbDA70bqg5H36sAhx4&#10;P5n6lSV9Taf+sjsd9eZZqdVyrt9ABJrDv/jPvddxfprB7zPxAl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hE/MAAAADcAAAADwAAAAAAAAAAAAAAAACYAgAAZHJzL2Rvd25y&#10;ZXYueG1sUEsFBgAAAAAEAAQA9QAAAIUDAAAAAA==&#10;" path="m145,989r-2,l145,991r-1,1l3249,992r-2,-1l3249,990r-3102,l145,989xe" fillcolor="#7e7e7e" stroked="f">
                <v:path arrowok="t" o:connecttype="custom" o:connectlocs="145,5272;143,5272;145,5274;144,5275;3249,5275;3247,5274;3249,5273;147,5273;145,5272" o:connectangles="0,0,0,0,0,0,0,0,0"/>
              </v:shape>
              <v:shape id="Freeform 234" o:spid="_x0000_s1080"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hZ8AA&#10;AADcAAAADwAAAGRycy9kb3ducmV2LnhtbERPTWvCQBC9C/6HZYTedKPFtqZuggiluTaWnsfsmA3N&#10;zsbsauK/d4VCb/N4n7PNR9uKK/W+caxguUhAEFdON1wr+D58zN9A+ICssXVMCm7kIc+mky2m2g38&#10;Rdcy1CKGsE9RgQmhS6X0lSGLfuE64sidXG8xRNjXUvc4xHDbylWSvEiLDccGgx3tDVW/5cUqwI6L&#10;wew2LOlnOLbnz+NBr1+VepqNu3cQgcbwL/5zFzrOXz7D45l4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ThZ8AAAADcAAAADwAAAAAAAAAAAAAAAACYAgAAZHJzL2Rvd25y&#10;ZXYueG1sUEsFBgAAAAAEAAQA9QAAAIUDAAAAAA==&#10;" path="m3251,990r,1l3250,992r3,l3251,990xe" fillcolor="#7e7e7e" stroked="f">
                <v:path arrowok="t" o:connecttype="custom" o:connectlocs="3251,5273;3251,5274;3250,5275;3253,5275;3251,5273" o:connectangles="0,0,0,0,0"/>
              </v:shape>
              <v:shape id="Freeform 235" o:spid="_x0000_s1081"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5E8AA&#10;AADcAAAADwAAAGRycy9kb3ducmV2LnhtbERPTWvCQBC9C/6HZYTedKPUtqZuggiluTaWnsfsmA3N&#10;zsbsauK/d4VCb/N4n7PNR9uKK/W+caxguUhAEFdON1wr+D58zN9A+ICssXVMCm7kIc+mky2m2g38&#10;Rdcy1CKGsE9RgQmhS6X0lSGLfuE64sidXG8xRNjXUvc4xHDbylWSvEiLDccGgx3tDVW/5cUqwI6L&#10;wew2LOlnOLbnz+NBr1+VepqNu3cQgcbwL/5zFzrOXz7D45l4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15E8AAAADcAAAADwAAAAAAAAAAAAAAAACYAgAAZHJzL2Rvd25y&#10;ZXYueG1sUEsFBgAAAAAEAAQA9QAAAIUDAAAAAA==&#10;" path="m147,987r-3,l147,990r,-3xe" fillcolor="#7e7e7e" stroked="f">
                <v:path arrowok="t" o:connecttype="custom" o:connectlocs="147,5270;144,5270;147,5273;147,5270" o:connectangles="0,0,0,0"/>
              </v:shape>
              <v:shape id="Freeform 236" o:spid="_x0000_s1082"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ciL4A&#10;AADcAAAADwAAAGRycy9kb3ducmV2LnhtbERPTYvCMBC9L/gfwgje1tQFV61NRRZEr6vLnsdmbIrN&#10;pDbR1n9vBMHbPN7nZKve1uJGra8cK5iMExDEhdMVlwr+DpvPOQgfkDXWjknBnTys8sFHhql2Hf/S&#10;bR9KEUPYp6jAhNCkUvrCkEU/dg1x5E6utRgibEupW+xiuK3lV5J8S4sVxwaDDf0YKs77q1WADe86&#10;s16wpP/uWF+2x4OezpQaDfv1EkSgPrzFL/dOx/mTKTyfiRf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h3Ii+AAAA3AAAAA8AAAAAAAAAAAAAAAAAmAIAAGRycy9kb3ducmV2&#10;LnhtbFBLBQYAAAAABAAEAPUAAACDAwAAAAA=&#10;" path="m3246,987r-3099,l147,990r3099,l3246,987xe" fillcolor="#7e7e7e" stroked="f">
                <v:path arrowok="t" o:connecttype="custom" o:connectlocs="3246,5270;147,5270;147,5273;3246,5273;3246,5270" o:connectangles="0,0,0,0,0"/>
              </v:shape>
              <v:shape id="Freeform 237" o:spid="_x0000_s1083"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C/70A&#10;AADcAAAADwAAAGRycy9kb3ducmV2LnhtbERPy6rCMBDdX/AfwgjurqkXfFWjyAXRrQ9cj83YFJtJ&#10;baKtf28Ewd0cznPmy9aW4kG1LxwrGPQTEMSZ0wXnCo6H9e8EhA/IGkvHpOBJHpaLzs8cU+0a3tFj&#10;H3IRQ9inqMCEUKVS+syQRd93FXHkLq62GCKsc6lrbGK4LeVfkoykxYJjg8GK/g1l1/3dKsCKt41Z&#10;TVnSqTmXt835oIdjpXrddjUDEagNX/HHvdVx/mAE72fiBXLx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7NC/70AAADcAAAADwAAAAAAAAAAAAAAAACYAgAAZHJzL2Rvd25yZXYu&#10;eG1sUEsFBgAAAAAEAAQA9QAAAIIDAAAAAA==&#10;" path="m3246,144r,846l3249,987r2,l3251,146r-2,l3246,144xe" fillcolor="#7e7e7e" stroked="f">
                <v:path arrowok="t" o:connecttype="custom" o:connectlocs="3246,4427;3246,5273;3249,5270;3251,5270;3251,4429;3249,4429;3246,4427" o:connectangles="0,0,0,0,0,0,0"/>
              </v:shape>
              <v:shape id="Freeform 238" o:spid="_x0000_s1084"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ZL0A&#10;AADcAAAADwAAAGRycy9kb3ducmV2LnhtbERPy6rCMBDdX/AfwgjurqkXfFWjyAXRrQ9cj83YFJtJ&#10;baKtf28Ewd0cznPmy9aW4kG1LxwrGPQTEMSZ0wXnCo6H9e8EhA/IGkvHpOBJHpaLzs8cU+0a3tFj&#10;H3IRQ9inqMCEUKVS+syQRd93FXHkLq62GCKsc6lrbGK4LeVfkoykxYJjg8GK/g1l1/3dKsCKt41Z&#10;TVnSqTmXt835oIdjpXrddjUDEagNX/HHvdVx/mAM72fiBXLx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nZL0AAADcAAAADwAAAAAAAAAAAAAAAACYAgAAZHJzL2Rvd25yZXYu&#10;eG1sUEsFBgAAAAAEAAQA9QAAAIIDAAAAAA==&#10;" path="m3251,987r-2,l3246,990r3,l3250,989r1,l3251,987xe" fillcolor="#7e7e7e" stroked="f">
                <v:path arrowok="t" o:connecttype="custom" o:connectlocs="3251,5270;3249,5270;3246,5273;3249,5273;3250,5272;3251,5272;3251,5270" o:connectangles="0,0,0,0,0,0,0"/>
              </v:shape>
              <v:shape id="Freeform 239" o:spid="_x0000_s1085"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zFsIA&#10;AADcAAAADwAAAGRycy9kb3ducmV2LnhtbESPT2/CMAzF70j7DpEncYMUpMHWERBCmsaVP+LsNl5T&#10;rXG6JqPl2+MDEjdb7/m9n1ebwTfqSl2sAxuYTTNQxGWwNVcGzqevyTuomJAtNoHJwI0ibNYvoxXm&#10;NvR8oOsxVUpCOOZowKXU5lrH0pHHOA0tsWg/ofOYZO0qbTvsJdw3ep5lC+2xZmlw2NLOUfl7/PcG&#10;sOV977YfrOnSF83fd3Gyb0tjxq/D9hNUoiE9zY/rvRX8mdDKMzKB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HMWwgAAANwAAAAPAAAAAAAAAAAAAAAAAJgCAABkcnMvZG93&#10;bnJldi54bWxQSwUGAAAAAAQABAD1AAAAhwMAAAAA&#10;" path="m142,144r,846l143,989r2,l144,987r3,l147,146r-3,l145,145r-2,l142,144xe" fillcolor="#7e7e7e" stroked="f">
                <v:path arrowok="t" o:connecttype="custom" o:connectlocs="142,4427;142,5273;143,5272;145,5272;144,5270;147,5270;147,4429;144,4429;145,4428;143,4428;142,4427" o:connectangles="0,0,0,0,0,0,0,0,0,0,0"/>
              </v:shape>
              <v:shape id="Freeform 240" o:spid="_x0000_s1086"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Wjb4A&#10;AADcAAAADwAAAGRycy9kb3ducmV2LnhtbERPTYvCMBC9C/6HMII3TV3Q1WpaRBC9qsuex2Zsis2k&#10;Nllb/71ZWNjbPN7nbPLe1uJJra8cK5hNExDEhdMVlwq+LvvJEoQPyBprx6TgRR7ybDjYYKpdxyd6&#10;nkMpYgj7FBWYEJpUSl8YsuinriGO3M21FkOEbSl1i10Mt7X8SJKFtFhxbDDY0M5QcT//WAXY8LEz&#10;2xVL+u6u9eNwvej5p1LjUb9dgwjUh3/xn/uo4/zZCn6fiRfI7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s1o2+AAAA3AAAAA8AAAAAAAAAAAAAAAAAmAIAAGRycy9kb3ducmV2&#10;LnhtbFBLBQYAAAAABAAEAPUAAACDAwAAAAA=&#10;" path="m3251,989r-1,l3251,990r,-1xe" fillcolor="#7e7e7e" stroked="f">
                <v:path arrowok="t" o:connecttype="custom" o:connectlocs="3251,5272;3250,5272;3251,5273;3251,5272" o:connectangles="0,0,0,0"/>
              </v:shape>
              <v:shape id="Freeform 241" o:spid="_x0000_s1087"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1rcEA&#10;AADcAAAADwAAAGRycy9kb3ducmV2LnhtbESPQW/CMAyF75P4D5GRuI10SDDoCAghIbgC086m8Zpq&#10;jVOaQMu/xwek3Wy95/c+L9e9r9Wd2lgFNvAxzkARF8FWXBr4Pu/e56BiQrZYByYDD4qwXg3elpjb&#10;0PGR7qdUKgnhmKMBl1KTax0LRx7jODTEov2G1mOStS21bbGTcF/rSZbNtMeKpcFhQ1tHxd/p5g1g&#10;w4fObRas6ae71Nf95Wynn8aMhv3mC1SiPv2bX9cHK/gTwZdnZAK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6ta3BAAAA3AAAAA8AAAAAAAAAAAAAAAAAmAIAAGRycy9kb3du&#10;cmV2LnhtbFBLBQYAAAAABAAEAPUAAACGAwAAAAA=&#10;" path="m147,144r-3,2l147,146r,-2xe" fillcolor="#7e7e7e" stroked="f">
                <v:path arrowok="t" o:connecttype="custom" o:connectlocs="147,4427;144,4429;147,4429;147,4427" o:connectangles="0,0,0,0"/>
              </v:shape>
              <v:shape id="Freeform 242" o:spid="_x0000_s1088"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QNsAA&#10;AADcAAAADwAAAGRycy9kb3ducmV2LnhtbERPyWrDMBC9F/IPYgK5NbIN6eJaNqYQkmuT0vPEmlom&#10;1six1Nj5+6hQ6G0eb52imm0vrjT6zrGCdJ2AIG6c7rhV8HncPr6A8AFZY++YFNzIQ1UuHgrMtZv4&#10;g66H0IoYwj5HBSaEIZfSN4Ys+rUbiCP37UaLIcKxlXrEKYbbXmZJ8iQtdhwbDA70bqg5H36sAhx4&#10;P5n6lSV9Taf+sjsd9eZZqdVyrt9ABJrDv/jPvddxfpbC7zPxAl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YQNsAAAADcAAAADwAAAAAAAAAAAAAAAACYAgAAZHJzL2Rvd25y&#10;ZXYueG1sUEsFBgAAAAAEAAQA9QAAAIUDAAAAAA==&#10;" path="m3246,144r-3099,l147,146r3099,l3246,144xe" fillcolor="#7e7e7e" stroked="f">
                <v:path arrowok="t" o:connecttype="custom" o:connectlocs="3246,4427;147,4427;147,4429;3246,4429;3246,4427" o:connectangles="0,0,0,0,0"/>
              </v:shape>
              <v:shape id="Freeform 243" o:spid="_x0000_s1089"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OQb4A&#10;AADcAAAADwAAAGRycy9kb3ducmV2LnhtbERPS4vCMBC+C/sfwix403QLulqNIoLo1Qeep83YFJtJ&#10;t4m2/nuzsLC3+fies1z3thZPan3lWMHXOAFBXDhdcangct6NZiB8QNZYOyYFL/KwXn0Mlphp1/GR&#10;nqdQihjCPkMFJoQmk9IXhiz6sWuII3dzrcUQYVtK3WIXw20t0ySZSosVxwaDDW0NFffTwyrAhg+d&#10;2cxZ0rXL6599ftaTb6WGn/1mASJQH/7Ff+6DjvPTFH6fiR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kjkG+AAAA3AAAAA8AAAAAAAAAAAAAAAAAmAIAAGRycy9kb3ducmV2&#10;LnhtbFBLBQYAAAAABAAEAPUAAACDAwAAAAA=&#10;" path="m3249,144r-3,l3249,146r2,l3251,145r-1,l3249,144xe" fillcolor="#7e7e7e" stroked="f">
                <v:path arrowok="t" o:connecttype="custom" o:connectlocs="3249,4427;3246,4427;3249,4429;3251,4429;3251,4428;3250,4428;3249,4427" o:connectangles="0,0,0,0,0,0,0"/>
              </v:shape>
              <v:shape id="Freeform 244" o:spid="_x0000_s1090"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r2r4A&#10;AADcAAAADwAAAGRycy9kb3ducmV2LnhtbERPTYvCMBC9L/gfwgje1lTFVatRZEH0ulY8j83YFJtJ&#10;bbK2/nsjLOxtHu9zVpvOVuJBjS8dKxgNExDEudMlFwpO2e5zDsIHZI2VY1LwJA+bde9jhal2Lf/Q&#10;4xgKEUPYp6jAhFCnUvrckEU/dDVx5K6usRgibAqpG2xjuK3kOEm+pMWSY4PBmr4N5bfjr1WANR9a&#10;s12wpHN7qe77S6anM6UG/W67BBGoC//iP/dBx/njCbyfi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oK9q+AAAA3AAAAA8AAAAAAAAAAAAAAAAAmAIAAGRycy9kb3ducmV2&#10;LnhtbFBLBQYAAAAABAAEAPUAAACDAwAAAAA=&#10;" path="m144,141r-1,l142,143r,1l143,145r2,-2l144,141xe" fillcolor="#7e7e7e" stroked="f">
                <v:path arrowok="t" o:connecttype="custom" o:connectlocs="144,4424;143,4424;142,4426;142,4427;143,4428;145,4426;144,4424" o:connectangles="0,0,0,0,0,0,0"/>
              </v:shape>
              <v:shape id="Freeform 245" o:spid="_x0000_s1091"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zrr4A&#10;AADcAAAADwAAAGRycy9kb3ducmV2LnhtbERPTYvCMBC9L/gfwgje1lTRVatRZEH0ulY8j83YFJtJ&#10;bbK2/nsjLOxtHu9zVpvOVuJBjS8dKxgNExDEudMlFwpO2e5zDsIHZI2VY1LwJA+bde9jhal2Lf/Q&#10;4xgKEUPYp6jAhFCnUvrckEU/dDVx5K6usRgibAqpG2xjuK3kOEm+pMWSY4PBmr4N5bfjr1WANR9a&#10;s12wpHN7qe77S6anM6UG/W67BBGoC//iP/dBx/njCbyfi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Bs66+AAAA3AAAAA8AAAAAAAAAAAAAAAAAmAIAAGRycy9kb3ducmV2&#10;LnhtbFBLBQYAAAAABAAEAPUAAACDAwAAAAA=&#10;" path="m3249,141r-3105,l145,143r-2,2l145,145r2,-1l3249,144r-2,-1l3249,141xe" fillcolor="#7e7e7e" stroked="f">
                <v:path arrowok="t" o:connecttype="custom" o:connectlocs="3249,4424;144,4424;145,4426;143,4428;145,4428;147,4427;3249,4427;3247,4426;3249,4424" o:connectangles="0,0,0,0,0,0,0,0,0"/>
              </v:shape>
              <v:shape id="Freeform 246" o:spid="_x0000_s1092"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WNb0A&#10;AADcAAAADwAAAGRycy9kb3ducmV2LnhtbERPTYvCMBC9C/6HMII3TRVctRpFBNHr6rLnsRmbYjOp&#10;TbT13xtB8DaP9znLdWtL8aDaF44VjIYJCOLM6YJzBX+n3WAGwgdkjaVjUvAkD+tVt7PEVLuGf+lx&#10;DLmIIexTVGBCqFIpfWbIoh+6ijhyF1dbDBHWudQ1NjHclnKcJD/SYsGxwWBFW0PZ9Xi3CrDiQ2M2&#10;c5b035zL2/580pOpUv1eu1mACNSGr/jjPug4fzyB9zPxAr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Q0WNb0AAADcAAAADwAAAAAAAAAAAAAAAACYAgAAZHJzL2Rvd25yZXYu&#10;eG1sUEsFBgAAAAAEAAQA9QAAAIIDAAAAAA==&#10;" path="m3387,2l3247,143r3,2l3251,144r,-1l3250,141r3,l3387,9r,-7xe" fillcolor="#7e7e7e" stroked="f">
                <v:path arrowok="t" o:connecttype="custom" o:connectlocs="3387,4285;3247,4426;3250,4428;3251,4427;3251,4426;3250,4424;3253,4424;3387,4292;3387,4285" o:connectangles="0,0,0,0,0,0,0,0,0"/>
              </v:shape>
              <v:shape id="Freeform 247" o:spid="_x0000_s1093"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Qr8A&#10;AADcAAAADwAAAGRycy9kb3ducmV2LnhtbERPS4vCMBC+C/sfwix401RBd7fbVEQQvfrA89jMNsVm&#10;Upto6783grC3+fieky16W4s7tb5yrGAyTkAQF05XXCo4HtajbxA+IGusHZOCB3lY5B+DDFPtOt7R&#10;fR9KEUPYp6jAhNCkUvrCkEU/dg1x5P5cazFE2JZSt9jFcFvLaZLMpcWKY4PBhlaGisv+ZhVgw9vO&#10;LH9Y0qk719fN+aBnX0oNP/vlL4hAffgXv91bHedP5/B6Jl4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4hCvwAAANwAAAAPAAAAAAAAAAAAAAAAAJgCAABkcnMvZG93bnJl&#10;di54bWxQSwUGAAAAAAQABAD1AAAAhAMAAAAA&#10;" path="m3251,144r-1,1l3251,145r,-1xe" fillcolor="#7e7e7e" stroked="f">
                <v:path arrowok="t" o:connecttype="custom" o:connectlocs="3251,4427;3250,4428;3251,4428;3251,4427" o:connectangles="0,0,0,0"/>
              </v:shape>
              <v:shape id="Freeform 248" o:spid="_x0000_s1094"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t2b8A&#10;AADcAAAADwAAAGRycy9kb3ducmV2LnhtbERPS4vCMBC+C/sfwix401RB3e02FRFErz7wPDazTbGZ&#10;1Cba+u+NsLC3+fieky17W4sHtb5yrGAyTkAQF05XXCo4HTejLxA+IGusHZOCJ3lY5h+DDFPtOt7T&#10;4xBKEUPYp6jAhNCkUvrCkEU/dg1x5H5dazFE2JZSt9jFcFvLaZLMpcWKY4PBhtaGiuvhbhVgw7vO&#10;rL5Z0rm71Lft5ahnC6WGn/3qB0SgPvyL/9w7HedPF/B+Jl4g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3ZvwAAANwAAAAPAAAAAAAAAAAAAAAAAJgCAABkcnMvZG93bnJl&#10;di54bWxQSwUGAAAAAAQABAD1AAAAhAMAAAAA&#10;" path="m6,2l5,2r,6l142,144r,-1l143,141r1,l6,2xe" fillcolor="#7e7e7e" stroked="f">
                <v:path arrowok="t" o:connecttype="custom" o:connectlocs="6,4285;5,4285;5,4291;142,4427;142,4426;143,4424;144,4424;6,4285" o:connectangles="0,0,0,0,0,0,0,0"/>
              </v:shape>
              <v:shape id="Freeform 249" o:spid="_x0000_s1095"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5q8EA&#10;AADcAAAADwAAAGRycy9kb3ducmV2LnhtbESPQW/CMAyF75P4D5GRuI10SDDoCAghIbgC086m8Zpq&#10;jVOaQMu/xwek3Wy95/c+L9e9r9Wd2lgFNvAxzkARF8FWXBr4Pu/e56BiQrZYByYDD4qwXg3elpjb&#10;0PGR7qdUKgnhmKMBl1KTax0LRx7jODTEov2G1mOStS21bbGTcF/rSZbNtMeKpcFhQ1tHxd/p5g1g&#10;w4fObRas6ae71Nf95Wynn8aMhv3mC1SiPv2bX9cHK/gToZVnZAK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MuavBAAAA3AAAAA8AAAAAAAAAAAAAAAAAmAIAAGRycy9kb3du&#10;cmV2LnhtbFBLBQYAAAAABAAEAPUAAACGAwAAAAA=&#10;" path="m3253,141r-3,l3251,143r,1l3253,141xe" fillcolor="#7e7e7e" stroked="f">
                <v:path arrowok="t" o:connecttype="custom" o:connectlocs="3253,4424;3250,4424;3251,4426;3251,4427;3253,4424" o:connectangles="0,0,0,0,0"/>
              </v:shape>
              <v:shape id="Freeform 250" o:spid="_x0000_s1096"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cMMAA&#10;AADcAAAADwAAAGRycy9kb3ducmV2LnhtbERPTWvDMAy9D/ofjAa9rc4C3da0TgiD0lzXjp3VWItD&#10;YzmNvST99/VgsJse71O7YradGGnwrWMFz6sEBHHtdMuNgs/T/ukNhA/IGjvHpOBGHop88bDDTLuJ&#10;P2g8hkbEEPYZKjAh9JmUvjZk0a9cTxy5bzdYDBEOjdQDTjHcdjJNkhdpseXYYLCnd0P15fhjFWDP&#10;1WTKDUv6ms7d9XA+6fWrUsvHudyCCDSHf/Gfu9JxfrqB32fiB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AcMMAAAADcAAAADwAAAAAAAAAAAAAAAACYAgAAZHJzL2Rvd25y&#10;ZXYueG1sUEsFBgAAAAAEAAQA9QAAAIUDAAAAAA==&#10;" path="m3387,2r,7l3391,5r-2,l3387,2xe" fillcolor="#7e7e7e" stroked="f">
                <v:path arrowok="t" o:connecttype="custom" o:connectlocs="3387,4285;3387,4292;3391,4288;3389,4288;3387,4285" o:connectangles="0,0,0,0,0"/>
              </v:shape>
              <v:shape id="Freeform 251" o:spid="_x0000_s1097"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jcMIA&#10;AADcAAAADwAAAGRycy9kb3ducmV2LnhtbESPT2/CMAzF75P2HSJP4jbSDQGjEBCaNMGVP9rZNKap&#10;aJyuyWj59viAxM3We37v58Wq97W6UhurwAY+hhko4iLYiksDx8PP+xeomJAt1oHJwI0irJavLwvM&#10;beh4R9d9KpWEcMzRgEupybWOhSOPcRgaYtHOofWYZG1LbVvsJNzX+jPLJtpjxdLgsKFvR8Vl/+8N&#10;YMPbzq1nrOm3O9V/m9PBjqfGDN769RxUoj49zY/rrRX8keDLMzKB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yNwwgAAANwAAAAPAAAAAAAAAAAAAAAAAJgCAABkcnMvZG93&#10;bnJldi54bWxQSwUGAAAAAAQABAD1AAAAhwMAAAAA&#10;" path="m5,1l1,5,5,8,5,5,3,5,5,2r1,l5,1xe" fillcolor="#7e7e7e" stroked="f">
                <v:path arrowok="t" o:connecttype="custom" o:connectlocs="5,4284;1,4288;5,4291;5,4288;3,4288;5,4285;6,4285;5,4284" o:connectangles="0,0,0,0,0,0,0,0"/>
              </v:shape>
              <v:shape id="Freeform 252" o:spid="_x0000_s1098"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8AA&#10;AADcAAAADwAAAGRycy9kb3ducmV2LnhtbERPTWvCQBC9C/6HZYTedKPFtqZuggiluTaWnsfsmA3N&#10;zsbsauK/d4VCb/N4n7PNR9uKK/W+caxguUhAEFdON1wr+D58zN9A+ICssXVMCm7kIc+mky2m2g38&#10;Rdcy1CKGsE9RgQmhS6X0lSGLfuE64sidXG8xRNjXUvc4xHDbylWSvEiLDccGgx3tDVW/5cUqwI6L&#10;wew2LOlnOLbnz+NBr1+VepqNu3cQgcbwL/5zFzrOf17C45l4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68AAAADcAAAADwAAAAAAAAAAAAAAAACYAgAAZHJzL2Rvd25y&#10;ZXYueG1sUEsFBgAAAAAEAAQA9QAAAIUDAAAAAA==&#10;" path="m5,2l3,5r2,l5,2xe" fillcolor="#7e7e7e" stroked="f">
                <v:path arrowok="t" o:connecttype="custom" o:connectlocs="5,4285;3,4288;5,4288;5,4285" o:connectangles="0,0,0,0"/>
              </v:shape>
              <v:shape id="Freeform 253" o:spid="_x0000_s1099"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0YnL4A&#10;AADcAAAADwAAAGRycy9kb3ducmV2LnhtbERPTYvCMBC9L/gfwgje1lTFVatRZEH0ulY8j83YFJtJ&#10;bbK2/nsjLOxtHu9zVpvOVuJBjS8dKxgNExDEudMlFwpO2e5zDsIHZI2VY1LwJA+bde9jhal2Lf/Q&#10;4xgKEUPYp6jAhFCnUvrckEU/dDVx5K6usRgibAqpG2xjuK3kOEm+pMWSY4PBmr4N5bfjr1WANR9a&#10;s12wpHN7qe77S6anM6UG/W67BBGoC//iP/dBx/mTMbyfi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9GJy+AAAA3AAAAA8AAAAAAAAAAAAAAAAAmAIAAGRycy9kb3ducmV2&#10;LnhtbFBLBQYAAAAABAAEAPUAAACDAwAAAAA=&#10;" path="m3388,1l5,1,9,5r3375,l3388,1xe" fillcolor="#7e7e7e" stroked="f">
                <v:path arrowok="t" o:connecttype="custom" o:connectlocs="3388,4284;5,4284;9,4288;3384,4288;3388,4284" o:connectangles="0,0,0,0,0"/>
              </v:shape>
              <v:shape id="Freeform 254" o:spid="_x0000_s1100"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9B74A&#10;AADcAAAADwAAAGRycy9kb3ducmV2LnhtbERPTYvCMBC9C/6HMII3TVXW1WoUEUSv6uJ5bMam2Exq&#10;E233328WBG/zeJ+zXLe2FC+qfeFYwWiYgCDOnC44V/Bz3g1mIHxA1lg6JgW/5GG96naWmGrX8JFe&#10;p5CLGMI+RQUmhCqV0meGLPqhq4gjd3O1xRBhnUtdYxPDbSnHSTKVFguODQYr2hrK7qenVYAVHxqz&#10;mbOkS3MtH/vrWX99K9XvtZsFiEBt+Ijf7oOO8ycT+H8mXiB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xvQe+AAAA3AAAAA8AAAAAAAAAAAAAAAAAmAIAAGRycy9kb3ducmV2&#10;LnhtbFBLBQYAAAAABAAEAPUAAACDAwAAAAA=&#10;" path="m3388,1r-1,1l3389,5r2,l3388,1xe" fillcolor="#7e7e7e" stroked="f">
                <v:path arrowok="t" o:connecttype="custom" o:connectlocs="3388,4284;3387,4285;3389,4288;3391,4288;3388,4284" o:connectangles="0,0,0,0,0"/>
              </v:shape>
              <v:shape id="Freeform 255" o:spid="_x0000_s1101" style="position:absolute;left:3457;top:4283;width:3392;height:1133;visibility:visible;mso-wrap-style:square;v-text-anchor:top" coordsize="33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lc78A&#10;AADcAAAADwAAAGRycy9kb3ducmV2LnhtbERPS4vCMBC+C/6HMMLeNHV1fVSjiLCs11XxPDZjU2wm&#10;tcna7r83guBtPr7nLNetLcWdal84VjAcJCCIM6cLzhUcD9/9GQgfkDWWjknBP3lYr7qdJabaNfxL&#10;933IRQxhn6ICE0KVSukzQxb9wFXEkbu42mKIsM6lrrGJ4baUn0kykRYLjg0GK9oayq77P6sAK941&#10;ZjNnSafmXN5+zgf9NVXqo9duFiACteEtfrl3Os4fjeH5TL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CVzvwAAANwAAAAPAAAAAAAAAAAAAAAAAJgCAABkcnMvZG93bnJl&#10;di54bWxQSwUGAAAAAAQABAD1AAAAhAMAAAAA&#10;" path="m3391,1r-3,l3391,5r,-4xe" fillcolor="#7e7e7e" stroked="f">
                <v:path arrowok="t" o:connecttype="custom" o:connectlocs="3391,4284;3388,4284;3391,4288;3391,4284" o:connectangles="0,0,0,0"/>
              </v:shape>
            </v:group>
            <v:group id="Group 256" o:spid="_x0000_s1102" style="position:absolute;left:6846;top:4848;width:478;height:119" coordorigin="6846,4848" coordsize="478,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57" o:spid="_x0000_s1103" style="position:absolute;left:6846;top:4848;width:478;height:119;visibility:visible;mso-wrap-style:square;v-text-anchor:top" coordsize="47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g8MA&#10;AADcAAAADwAAAGRycy9kb3ducmV2LnhtbERP30vDMBB+F/Y/hBN8c6kb1q0uGzoQfBFZt7HXszmb&#10;uuZSkqyt/70RBN/u4/t5q81oW9GTD41jBXfTDARx5XTDtYLD/uV2ASJEZI2tY1LwTQE268nVCgvt&#10;Bt5RX8ZapBAOBSowMXaFlKEyZDFMXUecuE/nLcYEfS21xyGF21bOsiyXFhtODQY72hqqzuXFKijN&#10;sLz/8Jf+/YseTvns+a05Gq3UzfX49Agi0hj/xX/uV53mz3P4fSZ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y/g8MAAADcAAAADwAAAAAAAAAAAAAAAACYAgAAZHJzL2Rv&#10;d25yZXYueG1sUEsFBgAAAAAEAAQA9QAAAIgDAAAAAA==&#10;" path="m1,l,5,476,119r2,-5l1,xe" fillcolor="#7e7e7e" stroked="f">
                <v:path arrowok="t" o:connecttype="custom" o:connectlocs="1,4848;0,4853;476,4967;478,4962;1,4848" o:connectangles="0,0,0,0,0"/>
              </v:shape>
            </v:group>
            <v:group id="Group 258" o:spid="_x0000_s1104" style="position:absolute;left:7320;top:3872;width:3376;height:2183" coordorigin="7320,3872" coordsize="3376,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59" o:spid="_x0000_s1105"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6o8cA&#10;AADcAAAADwAAAGRycy9kb3ducmV2LnhtbESPT2vCQBDF74V+h2WE3urGtohGV6lCqQcR/HPQ25gd&#10;k2B2NmS3GvvpnYPgbYb35r3fjKetq9SFmlB6NtDrJqCIM29Lzg3stj/vA1AhIlusPJOBGwWYTl5f&#10;xphaf+U1XTYxVxLCIUUDRYx1qnXICnIYur4mFu3kG4dR1ibXtsGrhLtKfyRJXzssWRoKrGleUHbe&#10;/DkDX8fdjWe/81l/8b/a6/XQH5aZN+at036PQEVq49P8uF5Ywf8UWnlGJt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buqPHAAAA3AAAAA8AAAAAAAAAAAAAAAAAmAIAAGRy&#10;cy9kb3ducmV2LnhtbFBLBQYAAAAABAAEAPUAAACMAwAAAAA=&#10;" path="m3011,l1,,,2,,1818r365,365l3376,2183r,-2l3371,2181r,-1l367,2180,6,1818r-1,l5,5,2,5,5,3r3008,l3011,xe" fillcolor="#7e7e7e" stroked="f">
                <v:path arrowok="t" o:connecttype="custom" o:connectlocs="3011,3872;1,3872;0,3874;0,5690;365,6055;3376,6055;3376,6053;3371,6053;3371,6052;367,6052;6,5690;5,5690;5,3877;2,3877;5,3875;3013,3875;3011,3872" o:connectangles="0,0,0,0,0,0,0,0,0,0,0,0,0,0,0,0,0"/>
              </v:shape>
              <v:shape id="Freeform 260" o:spid="_x0000_s1106"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fOMQA&#10;AADcAAAADwAAAGRycy9kb3ducmV2LnhtbERPTWvCQBC9F/oflhG81Y21SBNdpQrFHIpg6qG9jdlp&#10;EpqdDburxv56tyB4m8f7nPmyN604kfONZQXjUQKCuLS64UrB/vP96RWED8gaW8uk4EIelovHhzlm&#10;2p55R6ciVCKGsM9QQR1Cl0npy5oM+pHtiCP3Y53BEKGrpHZ4juGmlc9JMpUGG44NNXa0rqn8LY5G&#10;wcthf+HVZr2a5n/bL7lL7fdHaZUaDvq3GYhAfbiLb+5cx/mTFP6f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HzjEAAAA3AAAAA8AAAAAAAAAAAAAAAAAmAIAAGRycy9k&#10;b3ducmV2LnhtbFBLBQYAAAAABAAEAPUAAACJAwAAAAA=&#10;" path="m3371,366r,1815l3373,2178r3,l3376,368r-4,l3371,366xe" fillcolor="#7e7e7e" stroked="f">
                <v:path arrowok="t" o:connecttype="custom" o:connectlocs="3371,4238;3371,6053;3373,6050;3376,6050;3376,4240;3372,4240;3371,4238" o:connectangles="0,0,0,0,0,0,0"/>
              </v:shape>
              <v:shape id="Freeform 261" o:spid="_x0000_s1107"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F2MYA&#10;AADcAAAADwAAAGRycy9kb3ducmV2LnhtbESPQWvCQBCF74X+h2UK3uqmRcRGN6EKRQ8iaD3U25gd&#10;k9DsbMhuNfrrnYPQ2wzvzXvfzPLeNepMXag9G3gbJqCIC29rLg3sv79eJ6BCRLbYeCYDVwqQZ89P&#10;M0ytv/CWzrtYKgnhkKKBKsY21ToUFTkMQ98Si3byncMoa1dq2+FFwl2j35NkrB3WLA0VtrSoqPjd&#10;/TkDo+P+yvPlYj5e3TY/evvhD+vCGzN46T+noCL18d/8uF5ZwR8JvjwjE+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F2MYAAADcAAAADwAAAAAAAAAAAAAAAACYAgAAZHJz&#10;L2Rvd25yZXYueG1sUEsFBgAAAAAEAAQA9QAAAIsDAAAAAA==&#10;" path="m3376,2178r-3,l3371,2181r5,l3376,2178xe" fillcolor="#7e7e7e" stroked="f">
                <v:path arrowok="t" o:connecttype="custom" o:connectlocs="3376,6050;3373,6050;3371,6053;3376,6053;3376,6050" o:connectangles="0,0,0,0,0"/>
              </v:shape>
              <v:shape id="Freeform 262" o:spid="_x0000_s1108"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gQ8QA&#10;AADcAAAADwAAAGRycy9kb3ducmV2LnhtbERPTWvCQBC9F/wPywi91U1EQk1dxQSkHkpB68Heptlp&#10;EszOhuzWJP56t1DobR7vc1abwTTiSp2rLSuIZxEI4sLqmksFp4/d0zMI55E1NpZJwUgONuvJwwpT&#10;bXs+0PXoSxFC2KWooPK+TaV0RUUG3cy2xIH7tp1BH2BXSt1hH8JNI+dRlEiDNYeGClvKKyouxx+j&#10;YPF1Gjl7zbNkf3s/y8PSfr4VVqnH6bB9AeFp8P/iP/deh/mLGH6fCR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YEPEAAAA3AAAAA8AAAAAAAAAAAAAAAAAmAIAAGRycy9k&#10;b3ducmV2LnhtbFBLBQYAAAAABAAEAPUAAACJAwAAAAA=&#10;" path="m3371,2178r-3005,l367,2180r3004,l3371,2178xe" fillcolor="#7e7e7e" stroked="f">
                <v:path arrowok="t" o:connecttype="custom" o:connectlocs="3371,6050;366,6050;367,6052;3371,6052;3371,6050" o:connectangles="0,0,0,0,0"/>
              </v:shape>
              <v:shape id="Freeform 263" o:spid="_x0000_s1109"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NMUA&#10;AADcAAAADwAAAGRycy9kb3ducmV2LnhtbERPS2vCQBC+C/0Pywi96cYg0qZuQg2UeiiCj0N7m+5O&#10;k9DsbMhuNfrrXaHgbT6+5yyLwbbiSL1vHCuYTRMQxNqZhisFh/3b5AmED8gGW8ek4EweivxhtMTM&#10;uBNv6bgLlYgh7DNUUIfQZVJ6XZNFP3UdceR+XG8xRNhX0vR4iuG2lWmSLKTFhmNDjR2VNenf3Z9V&#10;MP8+nHn1Xq4W68vmU26f3deHdko9jofXFxCBhnAX/7vXJs6fp3B7Jl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f40xQAAANwAAAAPAAAAAAAAAAAAAAAAAJgCAABkcnMv&#10;ZG93bnJldi54bWxQSwUGAAAAAAQABAD1AAAAigMAAAAA&#10;" path="m5,1817r,1l6,1818r-1,-1xe" fillcolor="#7e7e7e" stroked="f">
                <v:path arrowok="t" o:connecttype="custom" o:connectlocs="5,5689;5,5690;6,5690;5,5689" o:connectangles="0,0,0,0"/>
              </v:shape>
              <v:shape id="Freeform 264" o:spid="_x0000_s1110"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br8UA&#10;AADcAAAADwAAAGRycy9kb3ducmV2LnhtbERPTWvCQBC9F/wPywi9NZtWkTa6hkYQcygFrYd6G7Nj&#10;EpqdDdmtif76bkHwNo/3OYt0MI04U+dqywqeoxgEcWF1zaWC/df66RWE88gaG8uk4EIO0uXoYYGJ&#10;tj1v6bzzpQgh7BJUUHnfJlK6oiKDLrItceBOtjPoA+xKqTvsQ7hp5Escz6TBmkNDhS2tKip+dr9G&#10;wfS4v3C2WWWz/Pr5Lbdv9vBRWKUex8P7HISnwd/FN3euw/zpBP6fC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uvxQAAANwAAAAPAAAAAAAAAAAAAAAAAJgCAABkcnMv&#10;ZG93bnJldi54bWxQSwUGAAAAAAQABAD1AAAAigMAAAAA&#10;" path="m3013,3l5,3r,2l3010,5r362,363l3376,368r,-3l3013,3xe" fillcolor="#7e7e7e" stroked="f">
                <v:path arrowok="t" o:connecttype="custom" o:connectlocs="3013,3875;5,3875;5,3877;3010,3877;3372,4240;3376,4240;3376,4237;3013,3875" o:connectangles="0,0,0,0,0,0,0,0"/>
              </v:shape>
              <v:shape id="Freeform 265" o:spid="_x0000_s1111" style="position:absolute;left:7320;top:3872;width:3376;height:2183;visibility:visible;mso-wrap-style:square;v-text-anchor:top" coordsize="337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D28MA&#10;AADcAAAADwAAAGRycy9kb3ducmV2LnhtbERPTYvCMBC9C/6HMII3TVeKuNUoqyDrQQTdHvQ2NrNt&#10;2WZSmqxWf70RBG/zeJ8zW7SmEhdqXGlZwccwAkGcWV1yriD9WQ8mIJxH1lhZJgU3crCYdzszTLS9&#10;8p4uB5+LEMIuQQWF93UipcsKMuiGtiYO3K9tDPoAm1zqBq8h3FRyFEVjabDk0FBgTauCsr/Dv1EQ&#10;n9MbL79Xy/HmvjvK/ac9bTOrVL/Xfk1BeGr9W/xyb3SYH8f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D28MAAADcAAAADwAAAAAAAAAAAAAAAACYAgAAZHJzL2Rv&#10;d25yZXYueG1sUEsFBgAAAAAEAAQA9QAAAIgDAAAAAA==&#10;" path="m5,3l2,5r3,l5,3xe" fillcolor="#7e7e7e" stroked="f">
                <v:path arrowok="t" o:connecttype="custom" o:connectlocs="5,3875;2,3877;5,3877;5,3875" o:connectangles="0,0,0,0"/>
              </v:shape>
            </v:group>
            <v:group id="Group 266" o:spid="_x0000_s1112" style="position:absolute;left:2660;top:3737;width:838;height:3268" coordorigin="2660,3737" coordsize="838,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67" o:spid="_x0000_s1113" style="position:absolute;left:2660;top:3737;width:838;height:3268;visibility:visible;mso-wrap-style:square;v-text-anchor:top" coordsize="838,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F18UA&#10;AADcAAAADwAAAGRycy9kb3ducmV2LnhtbERP22oCMRB9F/oPYQq+abYXraxGEakglYJ1C9W3YTPu&#10;Lt1MtknU9e+NUPBtDuc6k1lranEi5yvLCp76CQji3OqKCwXf2bI3AuEDssbaMim4kIfZ9KEzwVTb&#10;M3/RaRsKEUPYp6igDKFJpfR5SQZ93zbEkTtYZzBE6AqpHZ5juKnlc5IMpcGKY0OJDS1Kyn+3R6Ng&#10;/7b4zN+bwc9ytHv5y1y1WX9kc6W6j+18DCJQG+7if/dKx/mvQ7g9Ey+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YXXxQAAANwAAAAPAAAAAAAAAAAAAAAAAJgCAABkcnMv&#10;ZG93bnJldi54bWxQSwUGAAAAAAQABAD1AAAAigMAAAAA&#10;" path="m5,l,1,833,3267r5,-1l5,xe" fillcolor="#7e7e7e" stroked="f">
                <v:path arrowok="t" o:connecttype="custom" o:connectlocs="5,3737;0,3738;833,7004;838,7003;5,3737" o:connectangles="0,0,0,0,0"/>
              </v:shape>
            </v:group>
            <v:group id="Group 268" o:spid="_x0000_s1114" style="position:absolute;left:3492;top:6142;width:3392;height:1724" coordorigin="3492,6142" coordsize="3392,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69" o:spid="_x0000_s1115"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pvMcA&#10;AADcAAAADwAAAGRycy9kb3ducmV2LnhtbESPQWvCQBCF74X+h2UK3upGkRKiq7TSgqA91PagtyE7&#10;JqvZ2ZBdNfbXdw4FbzO8N+99M1v0vlEX6qILbGA0zEARl8E6rgz8fH8856BiQrbYBCYDN4qwmD8+&#10;zLCw4cpfdNmmSkkIxwIN1Cm1hdaxrMljHIaWWLRD6DwmWbtK2w6vEu4bPc6yF+3RsTTU2NKypvK0&#10;PXsD7vT5ds5/lzuXN/37+jja5+PN3pjBU/86BZWoT3fz//XKCv5E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O6bzHAAAA3AAAAA8AAAAAAAAAAAAAAAAAmAIAAGRy&#10;cy9kb3ducmV2LnhtbFBLBQYAAAAABAAEAPUAAACMAwAAAAA=&#10;" path="m3103,l1,,,1,,1435r288,288l3391,1723r,-3l3386,1720r,-1l292,1719r-3,-1l290,1718,7,1435r-2,l5,4,2,4,5,2r3101,l3103,xe" fillcolor="#7e7e7e" stroked="f">
                <v:path arrowok="t" o:connecttype="custom" o:connectlocs="3103,6142;1,6142;0,6143;0,7577;288,7865;3391,7865;3391,7862;3386,7862;3386,7861;292,7861;289,7860;290,7860;7,7577;5,7577;5,6146;2,6146;5,6144;3106,6144;3103,6142" o:connectangles="0,0,0,0,0,0,0,0,0,0,0,0,0,0,0,0,0,0,0"/>
              </v:shape>
              <v:shape id="Freeform 270" o:spid="_x0000_s1116"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J8UA&#10;AADcAAAADwAAAGRycy9kb3ducmV2LnhtbERPTWvCQBC9F/wPywje6kaRksZsRKUFwfag7UFvQ3ZM&#10;VrOzIbtq2l/fLRR6m8f7nHzR20bcqPPGsYLJOAFBXDptuFLw+fH6mILwAVlj45gUfJGHRTF4yDHT&#10;7s47uu1DJWII+wwV1CG0mZS+rMmiH7uWOHIn11kMEXaV1B3eY7ht5DRJnqRFw7GhxpbWNZWX/dUq&#10;MJf31TX9Xh9M2vQv2/PkmE7fjkqNhv1yDiJQH/7Ff+6NjvNnz/D7TLx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wnxQAAANwAAAAPAAAAAAAAAAAAAAAAAJgCAABkcnMv&#10;ZG93bnJldi54bWxQSwUGAAAAAAQABAD1AAAAigMAAAAA&#10;" path="m3386,290r,1430l3389,1718r2,l3391,291r-3,l3386,290xe" fillcolor="#7e7e7e" stroked="f">
                <v:path arrowok="t" o:connecttype="custom" o:connectlocs="3386,6432;3386,7862;3389,7860;3391,7860;3391,6433;3388,6433;3386,6432" o:connectangles="0,0,0,0,0,0,0"/>
              </v:shape>
              <v:shape id="Freeform 271" o:spid="_x0000_s1117"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zZ8cA&#10;AADcAAAADwAAAGRycy9kb3ducmV2LnhtbESPQWvCQBCF74X+h2UK3upGwRKiq7TSgqA91PagtyE7&#10;JqvZ2ZBdNfbXdw4FbzO8N+99M1v0vlEX6qILbGA0zEARl8E6rgz8fH8856BiQrbYBCYDN4qwmD8+&#10;zLCw4cpfdNmmSkkIxwIN1Cm1hdaxrMljHIaWWLRD6DwmWbtK2w6vEu4bPc6yF+3RsTTU2NKypvK0&#10;PXsD7vT5ds5/lzuXN/37+jja5+PN3pjBU/86BZWoT3fz//XKCv5E8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hc2fHAAAA3AAAAA8AAAAAAAAAAAAAAAAAmAIAAGRy&#10;cy9kb3ducmV2LnhtbFBLBQYAAAAABAAEAPUAAACMAwAAAAA=&#10;" path="m3391,1718r-2,l3386,1720r5,l3391,1718xe" fillcolor="#7e7e7e" stroked="f">
                <v:path arrowok="t" o:connecttype="custom" o:connectlocs="3391,7860;3389,7860;3386,7862;3391,7862;3391,7860" o:connectangles="0,0,0,0,0"/>
              </v:shape>
              <v:shape id="Freeform 272" o:spid="_x0000_s1118"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W/MUA&#10;AADcAAAADwAAAGRycy9kb3ducmV2LnhtbERPTWvCQBC9F/wPywi91U2ElhBdg4qFQttDrQe9Ddkx&#10;WZOdDdlVU3+9Wyj0No/3OfNisK24UO+NYwXpJAFBXDptuFKw+359ykD4gKyxdUwKfshDsRg9zDHX&#10;7spfdNmGSsQQ9jkqqEPocil9WZNFP3EdceSOrrcYIuwrqXu8xnDbymmSvEiLhmNDjR2tayqb7dkq&#10;MM3n6pzd1nuTtcPm/ZQesunHQanH8bCcgQg0hH/xn/tNx/nPKfw+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db8xQAAANwAAAAPAAAAAAAAAAAAAAAAAJgCAABkcnMv&#10;ZG93bnJldi54bWxQSwUGAAAAAAQABAD1AAAAigMAAAAA&#10;" path="m290,1718r-1,l292,1719r-2,-1xe" fillcolor="#7e7e7e" stroked="f">
                <v:path arrowok="t" o:connecttype="custom" o:connectlocs="290,7860;289,7860;292,7861;290,7860" o:connectangles="0,0,0,0"/>
              </v:shape>
              <v:shape id="Freeform 273" o:spid="_x0000_s1119"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Ii8QA&#10;AADcAAAADwAAAGRycy9kb3ducmV2LnhtbERPTWvCQBC9C/0PyxS86caAJURXsVJBsB6qPdTbkB2T&#10;1exsyK4a++u7QsHbPN7nTOedrcWVWm8cKxgNExDEhdOGSwXf+9UgA+EDssbaMSm4k4f57KU3xVy7&#10;G3/RdRdKEUPY56igCqHJpfRFRRb90DXEkTu61mKIsC2lbvEWw20t0yR5kxYNx4YKG1pWVJx3F6vA&#10;nLfvl+x3+WOyuvvYnEaHLP08KNV/7RYTEIG68BT/u9c6zh+n8Hg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IvEAAAA3AAAAA8AAAAAAAAAAAAAAAAAmAIAAGRycy9k&#10;b3ducmV2LnhtbFBLBQYAAAAABAAEAPUAAACJAwAAAAA=&#10;" path="m3386,1718r-3096,l292,1719r3094,l3386,1718xe" fillcolor="#7e7e7e" stroked="f">
                <v:path arrowok="t" o:connecttype="custom" o:connectlocs="3386,7860;290,7860;292,7861;3386,7861;3386,7860" o:connectangles="0,0,0,0,0"/>
              </v:shape>
              <v:shape id="Freeform 274" o:spid="_x0000_s1120"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tEMUA&#10;AADcAAAADwAAAGRycy9kb3ducmV2LnhtbERPTWvCQBC9F/oflil4qxsVJUQ3oZUKgu1B60FvQ3ZM&#10;tmZnQ3bVtL++WxB6m8f7nEXR20ZcqfPGsYLRMAFBXDptuFKw/1w9pyB8QNbYOCYF3+ShyB8fFphp&#10;d+MtXXehEjGEfYYK6hDaTEpf1mTRD11LHLmT6yyGCLtK6g5vMdw2cpwkM2nRcGyosaVlTeV5d7EK&#10;zPnj9ZL+LA8mbfq3zdfomI7fj0oNnvqXOYhAffgX391rHedPJ/D3TLx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0QxQAAANwAAAAPAAAAAAAAAAAAAAAAAJgCAABkcnMv&#10;ZG93bnJldi54bWxQSwUGAAAAAAQABAD1AAAAigMAAAAA&#10;" path="m5,1432r,3l7,1435r-2,-3xe" fillcolor="#7e7e7e" stroked="f">
                <v:path arrowok="t" o:connecttype="custom" o:connectlocs="5,7574;5,7577;7,7577;5,7574" o:connectangles="0,0,0,0"/>
              </v:shape>
              <v:shape id="Freeform 275" o:spid="_x0000_s1121"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1ZMUA&#10;AADcAAAADwAAAGRycy9kb3ducmV2LnhtbERPTWvCQBC9F/oflil4qxtFJUQ3oZUKgu1B60FvQ3ZM&#10;tmZnQ3bVtL++WxB6m8f7nEXR20ZcqfPGsYLRMAFBXDptuFKw/1w9pyB8QNbYOCYF3+ShyB8fFphp&#10;d+MtXXehEjGEfYYK6hDaTEpf1mTRD11LHLmT6yyGCLtK6g5vMdw2cpwkM2nRcGyosaVlTeV5d7EK&#10;zPnj9ZL+LA8mbfq3zdfomI7fj0oNnvqXOYhAffgX391rHedPJ/D3TLx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nVkxQAAANwAAAAPAAAAAAAAAAAAAAAAAJgCAABkcnMv&#10;ZG93bnJldi54bWxQSwUGAAAAAAQABAD1AAAAigMAAAAA&#10;" path="m3386,289r,1l3388,291r-2,-2xe" fillcolor="#7e7e7e" stroked="f">
                <v:path arrowok="t" o:connecttype="custom" o:connectlocs="3386,6431;3386,6432;3388,6433;3386,6431" o:connectangles="0,0,0,0"/>
              </v:shape>
              <v:shape id="Freeform 276" o:spid="_x0000_s1122"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Q/8QA&#10;AADcAAAADwAAAGRycy9kb3ducmV2LnhtbERPS2vCQBC+C/0PyxS8mY2CElJXaaUFoXrwcai3ITtN&#10;tmZnQ3bV1F/vCoK3+fieM513thZnar1xrGCYpCCIC6cNlwr2u69BBsIHZI21Y1LwTx7ms5feFHPt&#10;Lryh8zaUIoawz1FBFUKTS+mLiiz6xDXEkft1rcUQYVtK3eIlhttajtJ0Ii0ajg0VNrSoqDhuT1aB&#10;Oa4/Ttl18WOyuvv8/hsestHqoFT/tXt/AxGoC0/xw73Ucf54DPd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W0P/EAAAA3AAAAA8AAAAAAAAAAAAAAAAAmAIAAGRycy9k&#10;b3ducmV2LnhtbFBLBQYAAAAABAAEAPUAAACJAwAAAAA=&#10;" path="m3391,289r-5,l3388,291r3,l3391,289xe" fillcolor="#7e7e7e" stroked="f">
                <v:path arrowok="t" o:connecttype="custom" o:connectlocs="3391,6431;3386,6431;3388,6433;3391,6433;3391,6431" o:connectangles="0,0,0,0,0"/>
              </v:shape>
              <v:shape id="Freeform 277" o:spid="_x0000_s1123"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MQA&#10;AADcAAAADwAAAGRycy9kb3ducmV2LnhtbERPTWvCQBC9F/wPywjemo2CEqKrqCgItgdtD3obstNk&#10;a3Y2ZFdN++u7BcHbPN7nzBadrcWNWm8cKxgmKQjiwmnDpYLPj+1rBsIHZI21Y1LwQx4W897LDHPt&#10;7nyg2zGUIoawz1FBFUKTS+mLiiz6xDXEkftyrcUQYVtK3eI9httajtJ0Ii0ajg0VNrSuqLgcr1aB&#10;ubyvrtnv+mSyutvsv4fnbPR2VmrQ75ZTEIG68BQ/3Dsd548n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TojEAAAA3AAAAA8AAAAAAAAAAAAAAAAAmAIAAGRycy9k&#10;b3ducmV2LnhtbFBLBQYAAAAABAAEAPUAAACJAwAAAAA=&#10;" path="m3106,2l5,2r,2l3101,4r285,286l3386,289r5,l3391,288,3106,2xe" fillcolor="#7e7e7e" stroked="f">
                <v:path arrowok="t" o:connecttype="custom" o:connectlocs="3106,6144;5,6144;5,6146;3101,6146;3386,6432;3386,6431;3391,6431;3391,6430;3106,6144" o:connectangles="0,0,0,0,0,0,0,0,0"/>
              </v:shape>
              <v:shape id="Freeform 278" o:spid="_x0000_s1124" style="position:absolute;left:3492;top:6142;width:3392;height:1724;visibility:visible;mso-wrap-style:square;v-text-anchor:top" coordsize="3392,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rE8UA&#10;AADcAAAADwAAAGRycy9kb3ducmV2LnhtbERPTWvCQBC9F/oflil4qxsFNUQ3oZUKgu1B60FvQ3ZM&#10;tmZnQ3bVtL++WxB6m8f7nEXR20ZcqfPGsYLRMAFBXDptuFKw/1w9pyB8QNbYOCYF3+ShyB8fFphp&#10;d+MtXXehEjGEfYYK6hDaTEpf1mTRD11LHLmT6yyGCLtK6g5vMdw2cpwkU2nRcGyosaVlTeV5d7EK&#10;zPnj9ZL+LA8mbfq3zdfomI7fj0oNnvqXOYhAffgX391rHedPZvD3TLx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OsTxQAAANwAAAAPAAAAAAAAAAAAAAAAAJgCAABkcnMv&#10;ZG93bnJldi54bWxQSwUGAAAAAAQABAD1AAAAigMAAAAA&#10;" path="m5,2l2,4r3,l5,2xe" fillcolor="#7e7e7e" stroked="f">
                <v:path arrowok="t" o:connecttype="custom" o:connectlocs="5,6144;2,6146;5,6146;5,6144" o:connectangles="0,0,0,0"/>
              </v:shape>
            </v:group>
            <v:group id="Group 279" o:spid="_x0000_s1125" style="position:absolute;left:1349;top:1010;width:2;height:738" coordorigin="1349,1010" coordsize="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80" o:spid="_x0000_s1126" style="position:absolute;left:1349;top:1010;width:2;height:738;visibility:visible;mso-wrap-style:square;v-text-anchor:top" coordsize="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xV8UA&#10;AADcAAAADwAAAGRycy9kb3ducmV2LnhtbERP22rCQBB9F/oPyxR8041CpY2uIi22WqwQL4G+Ddlp&#10;kjY7G7Krxr/vCoJvczjXmcxaU4kTNa60rGDQj0AQZ1aXnCvY7xa9ZxDOI2usLJOCCzmYTR86E4y1&#10;PXNCp63PRQhhF6OCwvs6ltJlBRl0fVsTB+7HNgZ9gE0udYPnEG4qOYyikTRYcmgosKbXgrK/7dEo&#10;SDbpZ3r4+n23ycp+vG3W357SlVLdx3Y+BuGp9Xfxzb3UYf7TC1yfCR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FXxQAAANwAAAAPAAAAAAAAAAAAAAAAAJgCAABkcnMv&#10;ZG93bnJldi54bWxQSwUGAAAAAAQABAD1AAAAigMAAAAA&#10;" path="m,l,738e" filled="f" strokecolor="#7e7e7e" strokeweight=".34pt">
                <v:path arrowok="t" o:connecttype="custom" o:connectlocs="0,1010;0,1748" o:connectangles="0,0"/>
              </v:shape>
            </v:group>
            <v:group id="Group 281" o:spid="_x0000_s1127" style="position:absolute;left:1349;top:2504;width:2;height:648" coordorigin="1349,2504"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282" o:spid="_x0000_s1128" style="position:absolute;left:1349;top:2504;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AUMIA&#10;AADcAAAADwAAAGRycy9kb3ducmV2LnhtbERPS4vCMBC+C/6HMII3TfUgUk1FZHfxgSy6i+Bt2oxt&#10;2WZSmqj135sFwdt8fM+ZL1pTiRs1rrSsYDSMQBBnVpecK/j9+RxMQTiPrLGyTAoe5GCRdDtzjLW9&#10;84FuR5+LEMIuRgWF93UspcsKMuiGtiYO3MU2Bn2ATS51g/cQbio5jqKJNFhyaCiwplVB2d/xahR8&#10;y/2mPuXpR7qhx/lKZ7Pbmi+l+r12OQPhqfVv8cu91mH+ZAT/z4QL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MBQwgAAANwAAAAPAAAAAAAAAAAAAAAAAJgCAABkcnMvZG93&#10;bnJldi54bWxQSwUGAAAAAAQABAD1AAAAhwMAAAAA&#10;" path="m,l,648e" filled="f" strokecolor="#7e7e7e" strokeweight=".34pt">
                <v:path arrowok="t" o:connecttype="custom" o:connectlocs="0,2504;0,3152" o:connectangles="0,0"/>
              </v:shape>
            </v:group>
            <v:group id="Group 283" o:spid="_x0000_s1129" style="position:absolute;left:251;top:1748;width:2350;height:756" coordorigin="251,1748" coordsize="235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84" o:spid="_x0000_s1130" style="position:absolute;left:251;top:1748;width:2350;height:756;visibility:visible;mso-wrap-style:square;v-text-anchor:top" coordsize="235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cwsIA&#10;AADcAAAADwAAAGRycy9kb3ducmV2LnhtbERP3WrCMBS+F3yHcATvNPUHGZ1RVNjmpat7gLPmLClr&#10;TkoT225PvwjC7s7H93u2+8HVoqM2VJ4VLOYZCOLS64qNgo/ry+wJRIjIGmvPpOCHAux349EWc+17&#10;fqeuiEakEA45KrAxNrmUobTkMMx9Q5y4L986jAm2RuoW+xTuarnMso10WHFqsNjQyVL5XdycgtNb&#10;X1x/O/N6KC7+0yzc2h6XZ6Wmk+HwDCLSEP/FD/dZp/mbFdy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dzCwgAAANwAAAAPAAAAAAAAAAAAAAAAAJgCAABkcnMvZG93&#10;bnJldi54bWxQSwUGAAAAAAQABAD1AAAAhwMAAAAA&#10;" path="m,756r2349,l2349,,,,,756xe" fillcolor="#d6e3bc" stroked="f">
                <v:path arrowok="t" o:connecttype="custom" o:connectlocs="0,2504;2349,2504;2349,1748;0,1748;0,2504" o:connectangles="0,0,0,0,0"/>
              </v:shape>
            </v:group>
            <v:group id="Group 285" o:spid="_x0000_s1131" style="position:absolute;left:125;top:1622;width:2602;height:126" coordorigin="125,1622" coordsize="260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286" o:spid="_x0000_s1132" style="position:absolute;left:125;top:1622;width:2602;height:126;visibility:visible;mso-wrap-style:square;v-text-anchor:top" coordsize="260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sQA&#10;AADcAAAADwAAAGRycy9kb3ducmV2LnhtbERPS2vCQBC+F/wPywje6qYVRdOsUkRRCj34wPM0O03S&#10;Zmfj7mriv+8WBG/z8T0nW3SmFldyvrKs4GWYgCDOra64UHA8rJ+nIHxA1lhbJgU38rCY954yTLVt&#10;eUfXfShEDGGfooIyhCaV0uclGfRD2xBH7ts6gyFCV0jtsI3hppavSTKRBiuODSU2tCwp/91fjILz&#10;j1653cdpfNuMLrI7rz6/tsuZUoN+9/4GIlAXHuK7e6vj/MkY/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w7EAAAA3AAAAA8AAAAAAAAAAAAAAAAAmAIAAGRycy9k&#10;b3ducmV2LnhtbFBLBQYAAAAABAAEAPUAAACJAwAAAAA=&#10;" path="m2601,l,,126,126r2349,l2601,xe" fillcolor="#dee8c9" stroked="f">
                <v:path arrowok="t" o:connecttype="custom" o:connectlocs="2601,1622;0,1622;126,1748;2475,1748;2601,1622" o:connectangles="0,0,0,0,0"/>
              </v:shape>
            </v:group>
            <v:group id="Group 287" o:spid="_x0000_s1133" style="position:absolute;left:125;top:2504;width:2602;height:126" coordorigin="125,2504" coordsize="260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288" o:spid="_x0000_s1134" style="position:absolute;left:125;top:2504;width:2602;height:126;visibility:visible;mso-wrap-style:square;v-text-anchor:top" coordsize="260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ITMEA&#10;AADcAAAADwAAAGRycy9kb3ducmV2LnhtbERPTYvCMBC9L/gfwgje1lQPrlSjiCJ40MPWgh7HZmyL&#10;zaQ00dZ/bwTB2zze58yXnanEgxpXWlYwGkYgiDOrS84VpMft7xSE88gaK8uk4EkOlovezxxjbVv+&#10;p0ficxFC2MWooPC+jqV0WUEG3dDWxIG72sagD7DJpW6wDeGmkuMomkiDJYeGAmtaF5TdkrtRcFxd&#10;k9P5god2v+bzZpOW3TZNlBr0u9UMhKfOf8Uf906H+ZM/eD8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CEzBAAAA3AAAAA8AAAAAAAAAAAAAAAAAmAIAAGRycy9kb3du&#10;cmV2LnhtbFBLBQYAAAAABAAEAPUAAACGAwAAAAA=&#10;" path="m2475,l126,,,126r2601,l2475,xe" fillcolor="#acb697" stroked="f">
                <v:path arrowok="t" o:connecttype="custom" o:connectlocs="2475,2504;126,2504;0,2630;2601,2630;2475,2504" o:connectangles="0,0,0,0,0"/>
              </v:shape>
            </v:group>
            <v:group id="Group 289" o:spid="_x0000_s1135" style="position:absolute;left:125;top:1622;width:126;height:1008" coordorigin="125,1622" coordsize="12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290" o:spid="_x0000_s1136" style="position:absolute;left:125;top:1622;width:126;height:1008;visibility:visible;mso-wrap-style:square;v-text-anchor:top" coordsize="12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3cMA&#10;AADcAAAADwAAAGRycy9kb3ducmV2LnhtbERPzYrCMBC+L/gOYQQvoqkuVLcaRRYWi3sQqw8wNLNt&#10;sZmUJmrdpzeC4G0+vt9ZrjtTiyu1rrKsYDKOQBDnVldcKDgdf0ZzEM4ja6wtk4I7OViveh9LTLS9&#10;8YGumS9ECGGXoILS+yaR0uUlGXRj2xAH7s+2Bn2AbSF1i7cQbmo5jaJYGqw4NJTY0HdJ+Tm7GAWy&#10;ibf1/rgb/l9+u5m+p9t0uP9UatDvNgsQnjr/Fr/cqQ7z4y94Ph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3cMAAADcAAAADwAAAAAAAAAAAAAAAACYAgAAZHJzL2Rv&#10;d25yZXYueG1sUEsFBgAAAAAEAAQA9QAAAIgDAAAAAA==&#10;" path="m,l,1008,126,882r,-756l,xe" fillcolor="#e6eed6" stroked="f">
                <v:path arrowok="t" o:connecttype="custom" o:connectlocs="0,1622;0,2630;126,2504;126,1748;0,1622" o:connectangles="0,0,0,0,0"/>
              </v:shape>
            </v:group>
            <v:group id="Group 291" o:spid="_x0000_s1137" style="position:absolute;left:2600;top:1622;width:126;height:1008" coordorigin="2600,1622" coordsize="12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292" o:spid="_x0000_s1138" style="position:absolute;left:2600;top:1622;width:126;height:1008;visibility:visible;mso-wrap-style:square;v-text-anchor:top" coordsize="12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pmMIA&#10;AADcAAAADwAAAGRycy9kb3ducmV2LnhtbESPQYvCMBCF74L/IYzgTVNF1rU2ioiCt2W76nlopk2x&#10;mZQmav33ZmFhbzO8N+97k21724gHdb52rGA2TUAQF07XXCk4/xwnnyB8QNbYOCYFL/Kw3QwHGaba&#10;PfmbHnmoRAxhn6ICE0KbSukLQxb91LXEUStdZzHEtauk7vAZw20j50nyIS3WHAkGW9obKm753UZI&#10;cr3sablr/euwOpz14stgXio1HvW7NYhAffg3/12fdKy/nMHvM3EC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amYwgAAANwAAAAPAAAAAAAAAAAAAAAAAJgCAABkcnMvZG93&#10;bnJldi54bWxQSwUGAAAAAAQABAD1AAAAhwMAAAAA&#10;" path="m126,l,126,,882r126,126l126,xe" fillcolor="#808870" stroked="f">
                <v:path arrowok="t" o:connecttype="custom" o:connectlocs="126,1622;0,1748;0,2504;126,2630;126,1622" o:connectangles="0,0,0,0,0"/>
              </v:shape>
            </v:group>
            <v:group id="Group 293" o:spid="_x0000_s1139" style="position:absolute;left:122;top:1620;width:2607;height:1013" coordorigin="122,1620" coordsize="2607,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94" o:spid="_x0000_s1140"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sf8MA&#10;AADcAAAADwAAAGRycy9kb3ducmV2LnhtbERPS0sDMRC+F/ofwgheSptV2basTYuIC3qzb4/DZtxd&#10;mkyWTdrGf28Eobf5+J6zWEVrxIV63zpW8DDJQBBXTrdcK9hty/EchA/IGo1jUvBDHlbL4WCBhXZX&#10;XtNlE2qRQtgXqKAJoSuk9FVDFv3EdcSJ+3a9xZBgX0vd4zWFWyMfs2wqLbacGhrs6LWh6rQ5WwVl&#10;3MZDefz68N7k57wdmc/8ba/U/V18eQYRKIab+N/9rtP82RP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sf8MAAADcAAAADwAAAAAAAAAAAAAAAACYAgAAZHJzL2Rv&#10;d25yZXYueG1sUEsFBgAAAAAEAAQA9QAAAIgDAAAAAA==&#10;" path="m2607,l2,,,1,,1013r5,l2,1009r3,-3l5,8,2,5,5,1r2602,l2607,xe" fillcolor="#7e7e7e" stroked="f">
                <v:path arrowok="t" o:connecttype="custom" o:connectlocs="2607,1620;2,1620;0,1621;0,2633;5,2633;2,2629;5,2626;5,1628;2,1625;5,1621;2607,1621;2607,1620" o:connectangles="0,0,0,0,0,0,0,0,0,0,0,0"/>
              </v:shape>
              <v:shape id="Freeform 295" o:spid="_x0000_s1141"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0C8MA&#10;AADcAAAADwAAAGRycy9kb3ducmV2LnhtbERPS0sDMRC+F/ofwgheSptV3LasTYuIC3qzb4/DZtxd&#10;mkyWTdrGf28Eobf5+J6zWEVrxIV63zpW8DDJQBBXTrdcK9hty/EchA/IGo1jUvBDHlbL4WCBhXZX&#10;XtNlE2qRQtgXqKAJoSuk9FVDFv3EdcSJ+3a9xZBgX0vd4zWFWyMfs2wqLbacGhrs6LWh6rQ5WwVl&#10;3MZDefz68N7k57wdmc/8ba/U/V18eQYRKIab+N/9rtP82RP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0C8MAAADcAAAADwAAAAAAAAAAAAAAAACYAgAAZHJzL2Rv&#10;d25yZXYueG1sUEsFBgAAAAAEAAQA9QAAAIgDAAAAAA==&#10;" path="m3,1008r-1,1l5,1013r3,-3l5,1010r-2,-2xe" fillcolor="#7e7e7e" stroked="f">
                <v:path arrowok="t" o:connecttype="custom" o:connectlocs="3,2628;2,2629;5,2633;8,2630;5,2630;3,2628" o:connectangles="0,0,0,0,0,0"/>
              </v:shape>
              <v:shape id="Freeform 296" o:spid="_x0000_s1142"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RkMMA&#10;AADcAAAADwAAAGRycy9kb3ducmV2LnhtbERPS2sCMRC+F/wPYQq9FM1aWCtbo4h0ob1ZrY/jsJnu&#10;Lk0myyZq+u9NQfA2H99zZotojThT71vHCsajDARx5XTLtYLvbTmcgvABWaNxTAr+yMNiPniYYaHd&#10;hb/ovAm1SCHsC1TQhNAVUvqqIYt+5DrixP243mJIsK+l7vGSwq2RL1k2kRZbTg0NdrRqqPrdnKyC&#10;Mm7jvjwcP703+Slvn806f98p9fQYl28gAsVwF9/cHzrNf83h/5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RkMMAAADcAAAADwAAAAAAAAAAAAAAAACYAgAAZHJzL2Rv&#10;d25yZXYueG1sUEsFBgAAAAAEAAQA9QAAAIgDAAAAAA==&#10;" path="m2598,1008r-2588,l5,1013r2598,l2598,1008xe" fillcolor="#7e7e7e" stroked="f">
                <v:path arrowok="t" o:connecttype="custom" o:connectlocs="2598,2628;10,2628;5,2633;2603,2633;2598,2628" o:connectangles="0,0,0,0,0"/>
              </v:shape>
              <v:shape id="Freeform 297" o:spid="_x0000_s1143"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P58IA&#10;AADcAAAADwAAAGRycy9kb3ducmV2LnhtbERPS2sCMRC+F/ofwhR6KZq1sFZWo5Tigt5a38dhM+4u&#10;JpNlEzX9902h0Nt8fM+ZLaI14ka9bx0rGA0zEMSV0y3XCnbbcjAB4QOyRuOYFHyTh8X88WGGhXZ3&#10;/qLbJtQihbAvUEETQldI6auGLPqh64gTd3a9xZBgX0vd4z2FWyNfs2wsLbacGhrs6KOh6rK5WgVl&#10;3MZDeTytvTf5NW9fzGe+3Cv1/BTfpyACxfAv/nOvdJr/Nob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8/nwgAAANwAAAAPAAAAAAAAAAAAAAAAAJgCAABkcnMvZG93&#10;bnJldi54bWxQSwUGAAAAAAQABAD1AAAAhwMAAAAA&#10;" path="m2481,883r-4,4l2603,1013r3,-3l2602,1010r,-6l2484,887r-3,l2481,883xe" fillcolor="#7e7e7e" stroked="f">
                <v:path arrowok="t" o:connecttype="custom" o:connectlocs="2481,2503;2477,2507;2603,2633;2606,2630;2602,2630;2602,2624;2484,2507;2481,2507;2481,2503" o:connectangles="0,0,0,0,0,0,0,0,0"/>
              </v:shape>
              <v:shape id="Freeform 298" o:spid="_x0000_s1144"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qfMIA&#10;AADcAAAADwAAAGRycy9kb3ducmV2LnhtbERPS2sCMRC+F/ofwhR6KZq1sFVWo5Tigt5a38dhM+4u&#10;JpNlEzX9902h0Nt8fM+ZLaI14ka9bx0rGA0zEMSV0y3XCnbbcjAB4QOyRuOYFHyTh8X88WGGhXZ3&#10;/qLbJtQihbAvUEETQldI6auGLPqh64gTd3a9xZBgX0vd4z2FWyNfs+xNWmw5NTTY0UdD1WVztQrK&#10;uI2H8nhae2/ya96+mM98uVfq+Sm+T0EEiuFf/Ode6TR/PIb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2p8wgAAANwAAAAPAAAAAAAAAAAAAAAAAJgCAABkcnMvZG93&#10;bnJldi54bWxQSwUGAAAAAAQABAD1AAAAhwMAAAAA&#10;" path="m2607,1009r-4,4l2607,1013r,-4xe" fillcolor="#7e7e7e" stroked="f">
                <v:path arrowok="t" o:connecttype="custom" o:connectlocs="2607,2629;2603,2633;2607,2633;2607,2629" o:connectangles="0,0,0,0"/>
              </v:shape>
              <v:shape id="Freeform 299" o:spid="_x0000_s1145"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DsYA&#10;AADcAAAADwAAAGRycy9kb3ducmV2LnhtbESPQUsDMRCF74L/IYzgRdqswmrZNi0iLuhNW217HDbT&#10;3aXJZNmkbfz3zkHwNsN78943i1X2Tp1pjH1gA/fTAhRxE2zPrYGvTT2ZgYoJ2aILTAZ+KMJqeX21&#10;wMqGC3/SeZ1aJSEcKzTQpTRUWsemI49xGgZi0Q5h9JhkHVttR7xIuHf6oSgetceepaHDgV46ao7r&#10;kzdQ503e1rv9e4yuPJX9nfsoX7+Nub3Jz3NQiXL6N/9dv1nBfxJ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j+DsYAAADcAAAADwAAAAAAAAAAAAAAAACYAgAAZHJz&#10;L2Rvd25yZXYueG1sUEsFBgAAAAAEAAQA9QAAAIsDAAAAAA==&#10;" path="m5,1006r-2,2l5,1010r,-4xe" fillcolor="#7e7e7e" stroked="f">
                <v:path arrowok="t" o:connecttype="custom" o:connectlocs="5,2626;3,2628;5,2630;5,2626" o:connectangles="0,0,0,0"/>
              </v:shape>
              <v:shape id="Freeform 300" o:spid="_x0000_s1146"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blcMA&#10;AADcAAAADwAAAGRycy9kb3ducmV2LnhtbERPS0sDMRC+C/0PYQQv0mYrrG3XpqWIC3qzb4/DZtxd&#10;mkyWTdrGf28Eobf5+J4zX0ZrxIV63zpWMB5lIIgrp1uuFey25XAKwgdkjcYxKfghD8vF4G6OhXZX&#10;XtNlE2qRQtgXqKAJoSuk9FVDFv3IdcSJ+3a9xZBgX0vd4zWFWyOfsuxZWmw5NTTY0WtD1WlztgrK&#10;uI2H8vj14b3Jz3n7aD7zt71SD/dx9QIiUAw38b/7Xaf5kx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blcMAAADcAAAADwAAAAAAAAAAAAAAAACYAgAAZHJzL2Rv&#10;d25yZXYueG1sUEsFBgAAAAAEAAQA9QAAAIgDAAAAAA==&#10;" path="m126,884l5,1006r,4l8,1010,131,887r-5,l126,884xe" fillcolor="#7e7e7e" stroked="f">
                <v:path arrowok="t" o:connecttype="custom" o:connectlocs="126,2504;5,2626;5,2630;8,2630;131,2507;126,2507;126,2504" o:connectangles="0,0,0,0,0,0,0"/>
              </v:shape>
              <v:shape id="Freeform 301" o:spid="_x0000_s1147"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CL8UA&#10;AADcAAAADwAAAGRycy9kb3ducmV2LnhtbESPT0sDMRDF7wW/Qxihl2KzFlbK2rSIuKA3+089Dptx&#10;dzGZLJu0jd/eORS8zfDevPeb1SZ7p840xj6wgft5AYq4Cbbn1sBhX98tQcWEbNEFJgO/FGGzvpms&#10;sLLhwls671KrJIRjhQa6lIZK69h05DHOw0As2ncYPSZZx1bbES8S7p1eFMWD9tizNHQ40HNHzc/u&#10;5A3UeZ8/6s+vtxhdeSr7mXsvX47GTG/z0yOoRDn9m6/Xr1bwl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4IvxQAAANwAAAAPAAAAAAAAAAAAAAAAAJgCAABkcnMv&#10;ZG93bnJldi54bWxQSwUGAAAAAAQABAD1AAAAigMAAAAA&#10;" path="m2602,1004r,6l2604,1008r2,l2602,1004xe" fillcolor="#7e7e7e" stroked="f">
                <v:path arrowok="t" o:connecttype="custom" o:connectlocs="2602,2624;2602,2630;2604,2628;2606,2628;2602,2624" o:connectangles="0,0,0,0,0"/>
              </v:shape>
              <v:shape id="Freeform 302" o:spid="_x0000_s1148"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ntMIA&#10;AADcAAAADwAAAGRycy9kb3ducmV2LnhtbERPTWsCMRC9C/6HMAUvolmFFdkapUgX2pvVtvY4bMbd&#10;xWSybKKm/94UhN7m8T5ntYnWiCv1vnWsYDbNQBBXTrdcK/g8lJMlCB+QNRrHpOCXPGzWw8EKC+1u&#10;/EHXfahFCmFfoIImhK6Q0lcNWfRT1xEn7uR6iyHBvpa6x1sKt0bOs2whLbacGhrsaNtQdd5frIIy&#10;HuJ3efx5997kl7wdm13++qXU6Cm+PIMIFMO/+OF+02n+cgZ/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ye0wgAAANwAAAAPAAAAAAAAAAAAAAAAAJgCAABkcnMvZG93&#10;bnJldi54bWxQSwUGAAAAAAQABAD1AAAAhwMAAAAA&#10;" path="m2606,1008r-2,l2602,1010r4,l2607,1009r-1,-1xe" fillcolor="#7e7e7e" stroked="f">
                <v:path arrowok="t" o:connecttype="custom" o:connectlocs="2606,2628;2604,2628;2602,2630;2606,2630;2607,2629;2606,2628" o:connectangles="0,0,0,0,0,0"/>
              </v:shape>
              <v:shape id="Freeform 303" o:spid="_x0000_s1149"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w8IA&#10;AADcAAAADwAAAGRycy9kb3ducmV2LnhtbERPTWsCMRC9F/wPYQpeimYrrMjWKEW6oDerbe1x2Iy7&#10;i8lk2USN/94UhN7m8T5nvozWiAv1vnWs4HWcgSCunG65VvC1L0czED4gazSOScGNPCwXg6c5Ftpd&#10;+ZMuu1CLFMK+QAVNCF0hpa8asujHriNO3NH1FkOCfS11j9cUbo2cZNlUWmw5NTTY0aqh6rQ7WwVl&#10;3Mef8vC78d7k57x9Mdv841up4XN8fwMRKIZ/8cO91mn+bAJ/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bnDwgAAANwAAAAPAAAAAAAAAAAAAAAAAJgCAABkcnMvZG93&#10;bnJldi54bWxQSwUGAAAAAAQABAD1AAAAhwMAAAAA&#10;" path="m2607,5r-5,5l2602,1004r5,5l2607,5xe" fillcolor="#7e7e7e" stroked="f">
                <v:path arrowok="t" o:connecttype="custom" o:connectlocs="2607,1625;2602,1630;2602,2624;2607,2629;2607,1625" o:connectangles="0,0,0,0,0"/>
              </v:shape>
              <v:shape id="Freeform 304" o:spid="_x0000_s1150"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WMIA&#10;AADcAAAADwAAAGRycy9kb3ducmV2LnhtbERPS2sCMRC+F/ofwgi9FM22ZUVWo5TShfbW+j4Om3F3&#10;MZksm6jx35tCwdt8fM+ZLaI14ky9bx0reBllIIgrp1uuFaxX5XACwgdkjcYxKbiSh8X88WGGhXYX&#10;/qXzMtQihbAvUEETQldI6auGLPqR64gTd3C9xZBgX0vd4yWFWyNfs2wsLbacGhrs6KOh6rg8WQVl&#10;XMVtudt/e2/yU94+m5/8c6PU0yC+T0EEiuEu/nd/6TR/8gZ/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RxYwgAAANwAAAAPAAAAAAAAAAAAAAAAAJgCAABkcnMvZG93&#10;bnJldi54bWxQSwUGAAAAAAQABAD1AAAAhwMAAAAA&#10;" path="m128,883r-2,1l126,887r5,l128,883xe" fillcolor="#7e7e7e" stroked="f">
                <v:path arrowok="t" o:connecttype="custom" o:connectlocs="128,2503;126,2504;126,2507;131,2507;128,2503" o:connectangles="0,0,0,0,0"/>
              </v:shape>
              <v:shape id="Freeform 305" o:spid="_x0000_s1151"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LMIA&#10;AADcAAAADwAAAGRycy9kb3ducmV2LnhtbERPS2sCMRC+F/ofwgi9FM22dEVWo5TShfbW+j4Om3F3&#10;MZksm6jx35tCwdt8fM+ZLaI14ky9bx0reBllIIgrp1uuFaxX5XACwgdkjcYxKbiSh8X88WGGhXYX&#10;/qXzMtQihbAvUEETQldI6auGLPqR64gTd3C9xZBgX0vd4yWFWyNfs2wsLbacGhrs6KOh6rg8WQVl&#10;XMVtudt/e2/yU94+m5/8c6PU0yC+T0EEiuEu/nd/6TR/8gZ/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IQswgAAANwAAAAPAAAAAAAAAAAAAAAAAJgCAABkcnMvZG93&#10;bnJldi54bWxQSwUGAAAAAAQABAD1AAAAhwMAAAAA&#10;" path="m130,883r-2,l131,887r2346,l2480,884r-2349,l130,883xe" fillcolor="#7e7e7e" stroked="f">
                <v:path arrowok="t" o:connecttype="custom" o:connectlocs="130,2503;128,2503;131,2507;2477,2507;2480,2504;131,2504;130,2503" o:connectangles="0,0,0,0,0,0,0"/>
              </v:shape>
              <v:shape id="Freeform 306" o:spid="_x0000_s1152"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ht8IA&#10;AADcAAAADwAAAGRycy9kb3ducmV2LnhtbERPS2sCMRC+F/ofwhR6KZptYUVWoxRxob1Z38dhM+4u&#10;TSbLJmr6701B8DYf33Om82iNuFDvW8cK3ocZCOLK6ZZrBdtNORiD8AFZo3FMCv7Iw3z2/DTFQrsr&#10;/9BlHWqRQtgXqKAJoSuk9FVDFv3QdcSJO7neYkiwr6Xu8ZrCrZEfWTaSFltODQ12tGio+l2frYIy&#10;buK+PBy/vTf5OW/fzCpf7pR6fYmfExCBYniI7+4vneaPc/h/Jl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CG3wgAAANwAAAAPAAAAAAAAAAAAAAAAAJgCAABkcnMvZG93&#10;bnJldi54bWxQSwUGAAAAAAQABAD1AAAAhwMAAAAA&#10;" path="m2481,883r,4l2484,887r-3,-4xe" fillcolor="#7e7e7e" stroked="f">
                <v:path arrowok="t" o:connecttype="custom" o:connectlocs="2481,2503;2481,2507;2484,2507;2481,2503" o:connectangles="0,0,0,0"/>
              </v:shape>
              <v:shape id="Freeform 307" o:spid="_x0000_s1153"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wMMA&#10;AADcAAAADwAAAGRycy9kb3ducmV2LnhtbERPS2sCMRC+C/0PYQq9iGZbWFm2RimlC+3NV2uPw2bc&#10;XUwmyyZq/PemUPA2H99z5stojTjT4DvHCp6nGQji2umOGwW7bTUpQPiArNE4JgVX8rBcPIzmWGp3&#10;4TWdN6ERKYR9iQraEPpSSl+3ZNFPXU+cuIMbLIYEh0bqAS8p3Br5kmUzabHj1NBiT+8t1cfNySqo&#10;4jb+VPvfL+9Nfsq7sVnlH99KPT3Gt1cQgWK4i//dnzrNL2b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6/wMMAAADcAAAADwAAAAAAAAAAAAAAAACYAgAAZHJzL2Rv&#10;d25yZXYueG1sUEsFBgAAAAAEAAQA9QAAAIgDAAAAAA==&#10;" path="m126,130r,754l128,883r2,l129,882r2,l131,131r-3,l126,130xe" fillcolor="#7e7e7e" stroked="f">
                <v:path arrowok="t" o:connecttype="custom" o:connectlocs="126,1750;126,2504;128,2503;130,2503;129,2502;131,2502;131,1751;128,1751;126,1750" o:connectangles="0,0,0,0,0,0,0,0,0"/>
              </v:shape>
              <v:shape id="Freeform 308" o:spid="_x0000_s1154"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W8IA&#10;AADcAAAADwAAAGRycy9kb3ducmV2LnhtbERPS2sCMRC+F/ofwgi9FM22sFVWo5TShfZmfR+Hzbi7&#10;mEyWTdT035tCwdt8fM+ZLaI14kK9bx0reBllIIgrp1uuFWzW5XACwgdkjcYxKfglD4v548MMC+2u&#10;/EOXVahFCmFfoIImhK6Q0lcNWfQj1xEn7uh6iyHBvpa6x2sKt0a+ZtmbtNhyamiwo4+GqtPqbBWU&#10;cR135f7w7b3Jz3n7bJb551app0F8n4IIFMNd/O/+0mn+ZAx/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hpbwgAAANwAAAAPAAAAAAAAAAAAAAAAAJgCAABkcnMvZG93&#10;bnJldi54bWxQSwUGAAAAAAQABAD1AAAAhwMAAAAA&#10;" path="m131,882r-2,l131,884r,-2xe" fillcolor="#7e7e7e" stroked="f">
                <v:path arrowok="t" o:connecttype="custom" o:connectlocs="131,2502;129,2502;131,2504;131,2502" o:connectangles="0,0,0,0"/>
              </v:shape>
              <v:shape id="Freeform 309" o:spid="_x0000_s1155"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OKcUA&#10;AADcAAAADwAAAGRycy9kb3ducmV2LnhtbESPT0sDMRDF7wW/Qxihl2KzFlbK2rSIuKA3+089Dptx&#10;dzGZLJu0jd/eORS8zfDevPeb1SZ7p840xj6wgft5AYq4Cbbn1sBhX98tQcWEbNEFJgO/FGGzvpms&#10;sLLhwls671KrJIRjhQa6lIZK69h05DHOw0As2ncYPSZZx1bbES8S7p1eFMWD9tizNHQ40HNHzc/u&#10;5A3UeZ8/6s+vtxhdeSr7mXsvX47GTG/z0yOoRDn9m6/Xr1bwl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4pxQAAANwAAAAPAAAAAAAAAAAAAAAAAJgCAABkcnMv&#10;ZG93bnJldi54bWxQSwUGAAAAAAQABAD1AAAAigMAAAAA&#10;" path="m2476,882r-2345,l131,884r2345,l2476,882xe" fillcolor="#7e7e7e" stroked="f">
                <v:path arrowok="t" o:connecttype="custom" o:connectlocs="2476,2502;131,2502;131,2504;2476,2504;2476,2502" o:connectangles="0,0,0,0,0"/>
              </v:shape>
              <v:shape id="Freeform 310" o:spid="_x0000_s1156"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rssIA&#10;AADcAAAADwAAAGRycy9kb3ducmV2LnhtbERPS2sCMRC+F/ofwhR6KZq1sEVXo5Tigt5a38dhM+4u&#10;JpNlEzX9902h0Nt8fM+ZLaI14ka9bx0rGA0zEMSV0y3XCnbbcjAG4QOyRuOYFHyTh8X88WGGhXZ3&#10;/qLbJtQihbAvUEETQldI6auGLPqh64gTd3a9xZBgX0vd4z2FWyNfs+xNWmw5NTTY0UdD1WVztQrK&#10;uI2H8nhae2/ya96+mM98uVfq+Sm+T0EEiuFf/Ode6TR/PIH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SuywgAAANwAAAAPAAAAAAAAAAAAAAAAAJgCAABkcnMvZG93&#10;bnJldi54bWxQSwUGAAAAAAQABAD1AAAAhwMAAAAA&#10;" path="m2476,128r,756l2478,882r3,l2481,131r-3,l2476,128xe" fillcolor="#7e7e7e" stroked="f">
                <v:path arrowok="t" o:connecttype="custom" o:connectlocs="2476,1748;2476,2504;2478,2502;2481,2502;2481,1751;2478,1751;2476,1748" o:connectangles="0,0,0,0,0,0,0"/>
              </v:shape>
              <v:shape id="Freeform 311" o:spid="_x0000_s1157"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U8sYA&#10;AADcAAAADwAAAGRycy9kb3ducmV2LnhtbESPQUsDMRCF74L/IYzgRdqswordNi0iLuhNW217HDbT&#10;3aXJZNmkbfz3zkHwNsN78943i1X2Tp1pjH1gA/fTAhRxE2zPrYGvTT15AhUTskUXmAz8UITV8vpq&#10;gZUNF/6k8zq1SkI4VmigS2motI5NRx7jNAzEoh3C6DHJOrbajniRcO/0Q1E8ao89S0OHA7101BzX&#10;J2+gzpu8rXf79xhdeSr7O/dRvn4bc3uTn+egEuX0b/67frO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IU8sYAAADcAAAADwAAAAAAAAAAAAAAAACYAgAAZHJz&#10;L2Rvd25yZXYueG1sUEsFBgAAAAAEAAQA9QAAAIsDAAAAAA==&#10;" path="m2481,882r-3,l2476,884r4,l2481,883r,-1xe" fillcolor="#7e7e7e" stroked="f">
                <v:path arrowok="t" o:connecttype="custom" o:connectlocs="2481,2502;2478,2502;2476,2504;2480,2504;2481,2503;2481,2502" o:connectangles="0,0,0,0,0,0"/>
              </v:shape>
              <v:shape id="Freeform 312" o:spid="_x0000_s1158"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xacIA&#10;AADcAAAADwAAAGRycy9kb3ducmV2LnhtbERPS2sCMRC+F/ofwhR6KZq1sEVXo5TShfZmfR+Hzbi7&#10;mEyWTdT035tCwdt8fM+ZLaI14kK9bx0rGA0zEMSV0y3XCjbrcjAG4QOyRuOYFPySh8X88WGGhXZX&#10;/qHLKtQihbAvUEETQldI6auGLPqh64gTd3S9xZBgX0vd4zWFWyNfs+xNWmw5NTTY0UdD1Wl1tgrK&#10;uI67cn/49t7k57x9Mcv8c6vU81N8n4IIFMNd/O/+0mn+ZAR/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rFpwgAAANwAAAAPAAAAAAAAAAAAAAAAAJgCAABkcnMvZG93&#10;bnJldi54bWxQSwUGAAAAAAQABAD1AAAAhwMAAAAA&#10;" path="m130,126r-2,l126,127r,3l128,131r3,-4l130,126xe" fillcolor="#7e7e7e" stroked="f">
                <v:path arrowok="t" o:connecttype="custom" o:connectlocs="130,1746;128,1746;126,1747;126,1750;128,1751;131,1747;130,1746" o:connectangles="0,0,0,0,0,0,0"/>
              </v:shape>
              <v:shape id="Freeform 313" o:spid="_x0000_s1159"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vHsIA&#10;AADcAAAADwAAAGRycy9kb3ducmV2LnhtbERPS2sCMRC+F/ofwhR6KZqtsEVXo5TShfZmfR+Hzbi7&#10;mEyWTdT035tCwdt8fM+ZLaI14kK9bx0reB1mIIgrp1uuFWzW5WAMwgdkjcYxKfglD4v548MMC+2u&#10;/EOXVahFCmFfoIImhK6Q0lcNWfRD1xEn7uh6iyHBvpa6x2sKt0aOsuxNWmw5NTTY0UdD1Wl1tgrK&#10;uI67cn/49t7k57x9Mcv8c6vU81N8n4IIFMNd/O/+0mn+ZAR/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8ewgAAANwAAAAPAAAAAAAAAAAAAAAAAJgCAABkcnMvZG93&#10;bnJldi54bWxQSwUGAAAAAAQABAD1AAAAhwMAAAAA&#10;" path="m2478,126r-2348,l131,127r-3,4l129,131r2,-3l2478,128r-1,-1l2478,126xe" fillcolor="#7e7e7e" stroked="f">
                <v:path arrowok="t" o:connecttype="custom" o:connectlocs="2478,1746;130,1746;131,1747;128,1751;129,1751;131,1748;2478,1748;2477,1747;2478,1746" o:connectangles="0,0,0,0,0,0,0,0,0"/>
              </v:shape>
              <v:shape id="Freeform 314" o:spid="_x0000_s1160"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KhcMA&#10;AADcAAAADwAAAGRycy9kb3ducmV2LnhtbERPS0sDMRC+F/ofwgheSptV2dKuTYuIC3qzb4/DZtxd&#10;mkyWTdrGf28Eobf5+J6zWEVrxIV63zpW8DDJQBBXTrdcK9hty/EMhA/IGo1jUvBDHlbL4WCBhXZX&#10;XtNlE2qRQtgXqKAJoSuk9FVDFv3EdcSJ+3a9xZBgX0vd4zWFWyMfs2wqLbacGhrs6LWh6rQ5WwVl&#10;3MZDefz68N7k57wdmc/8ba/U/V18eQYRKIab+N/9rtP8+RP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CKhcMAAADcAAAADwAAAAAAAAAAAAAAAACYAgAAZHJzL2Rv&#10;d25yZXYueG1sUEsFBgAAAAAEAAQA9QAAAIgDAAAAAA==&#10;" path="m131,128r-2,3l131,131r,-3xe" fillcolor="#7e7e7e" stroked="f">
                <v:path arrowok="t" o:connecttype="custom" o:connectlocs="131,1748;129,1751;131,1751;131,1748" o:connectangles="0,0,0,0"/>
              </v:shape>
              <v:shape id="Freeform 315" o:spid="_x0000_s1161"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S8cMA&#10;AADcAAAADwAAAGRycy9kb3ducmV2LnhtbERPS0sDMRC+F/ofwgheSptV3NKuTYuIC3qzb4/DZtxd&#10;mkyWTdrGf28Eobf5+J6zWEVrxIV63zpW8DDJQBBXTrdcK9hty/EMhA/IGo1jUvBDHlbL4WCBhXZX&#10;XtNlE2qRQtgXqKAJoSuk9FVDFv3EdcSJ+3a9xZBgX0vd4zWFWyMfs2wqLbacGhrs6LWh6rQ5WwVl&#10;3MZDefz68N7k57wdmc/8ba/U/V18eQYRKIab+N/9rtP8+RP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S8cMAAADcAAAADwAAAAAAAAAAAAAAAACYAgAAZHJzL2Rv&#10;d25yZXYueG1sUEsFBgAAAAAEAAQA9QAAAIgDAAAAAA==&#10;" path="m2476,128r-2345,l131,131r2345,l2476,128xe" fillcolor="#7e7e7e" stroked="f">
                <v:path arrowok="t" o:connecttype="custom" o:connectlocs="2476,1748;131,1748;131,1751;2476,1751;2476,1748" o:connectangles="0,0,0,0,0"/>
              </v:shape>
              <v:shape id="Freeform 316" o:spid="_x0000_s1162"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3asMA&#10;AADcAAAADwAAAGRycy9kb3ducmV2LnhtbERPS2sCMRC+F/wPYQq9FM1aWKlbo4h0ob1ZrY/jsJnu&#10;Lk0myyZq+u9NQfA2H99zZotojThT71vHCsajDARx5XTLtYLvbTl8BeEDskbjmBT8kYfFfPAww0K7&#10;C3/ReRNqkULYF6igCaErpPRVQxb9yHXEiftxvcWQYF9L3eMlhVsjX7JsIi22nBoa7GjVUPW7OVkF&#10;ZdzGfXk4fnpv8lPePpt1/r5T6ukxLt9ABIrhLr65P3SaP83h/5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W3asMAAADcAAAADwAAAAAAAAAAAAAAAACYAgAAZHJzL2Rv&#10;d25yZXYueG1sUEsFBgAAAAAEAAQA9QAAAIgDAAAAAA==&#10;" path="m2478,128r-2,l2478,131r3,l2478,128xe" fillcolor="#7e7e7e" stroked="f">
                <v:path arrowok="t" o:connecttype="custom" o:connectlocs="2478,1748;2476,1748;2478,1751;2481,1751;2478,1748" o:connectangles="0,0,0,0,0"/>
              </v:shape>
              <v:shape id="Freeform 317" o:spid="_x0000_s1163"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pHcIA&#10;AADcAAAADwAAAGRycy9kb3ducmV2LnhtbERPS2sCMRC+F/ofwhR6KZq1sFJXo5Tigt5a38dhM+4u&#10;JpNlEzX9902h0Nt8fM+ZLaI14ka9bx0rGA0zEMSV0y3XCnbbcvAGwgdkjcYxKfgmD4v548MMC+3u&#10;/EW3TahFCmFfoIImhK6Q0lcNWfRD1xEn7ux6iyHBvpa6x3sKt0a+ZtlYWmw5NTTY0UdD1WVztQrK&#10;uI2H8nhae2/ya96+mM98uVfq+Sm+T0EEiuFf/Ode6TR/Mob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ykdwgAAANwAAAAPAAAAAAAAAAAAAAAAAJgCAABkcnMvZG93&#10;bnJldi54bWxQSwUGAAAAAAQABAD1AAAAhwMAAAAA&#10;" path="m2602,2l2477,127r4,4l2481,126r5,l2602,10r,-8xe" fillcolor="#7e7e7e" stroked="f">
                <v:path arrowok="t" o:connecttype="custom" o:connectlocs="2602,1622;2477,1747;2481,1751;2481,1746;2486,1746;2602,1630;2602,1622" o:connectangles="0,0,0,0,0,0,0"/>
              </v:shape>
              <v:shape id="Freeform 318" o:spid="_x0000_s1164"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hsMA&#10;AADcAAAADwAAAGRycy9kb3ducmV2LnhtbERPS0sDMRC+C/0PYQQv0mYrrG3XpqWIC3qzb4/DZtxd&#10;mkyWTdrGf28Eobf5+J4zX0ZrxIV63zpWMB5lIIgrp1uuFey25XAKwgdkjcYxKfghD8vF4G6OhXZX&#10;XtNlE2qRQtgXqKAJoSuk9FVDFv3IdcSJ+3a9xZBgX0vd4zWFWyOfsuxZWmw5NTTY0WtD1WlztgrK&#10;uI2H8vj14b3Jz3n7aD7zt71SD/dx9QIiUAw38b/7Xaf5sw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uMhsMAAADcAAAADwAAAAAAAAAAAAAAAACYAgAAZHJzL2Rv&#10;d25yZXYueG1sUEsFBgAAAAAEAAQA9QAAAIgDAAAAAA==&#10;" path="m2486,126r-5,l2481,131r5,-5xe" fillcolor="#7e7e7e" stroked="f">
                <v:path arrowok="t" o:connecttype="custom" o:connectlocs="2486,1746;2481,1746;2481,1751;2486,1746" o:connectangles="0,0,0,0"/>
              </v:shape>
              <v:shape id="Freeform 319" o:spid="_x0000_s1165"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Y9MYA&#10;AADcAAAADwAAAGRycy9kb3ducmV2LnhtbESPQUsDMRCF74L/IYzgRdqswordNi0iLuhNW217HDbT&#10;3aXJZNmkbfz3zkHwNsN78943i1X2Tp1pjH1gA/fTAhRxE2zPrYGvTT15AhUTskUXmAz8UITV8vpq&#10;gZUNF/6k8zq1SkI4VmigS2motI5NRx7jNAzEoh3C6DHJOrbajniRcO/0Q1E8ao89S0OHA7101BzX&#10;J2+gzpu8rXf79xhdeSr7O/dRvn4bc3uTn+egEuX0b/67frOC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Y9MYAAADcAAAADwAAAAAAAAAAAAAAAACYAgAAZHJz&#10;L2Rvd25yZXYueG1sUEsFBgAAAAAEAAQA9QAAAIsDAAAAAA==&#10;" path="m6,2l5,2r,6l126,130r,-3l128,126r2,l6,2xe" fillcolor="#7e7e7e" stroked="f">
                <v:path arrowok="t" o:connecttype="custom" o:connectlocs="6,1622;5,1622;5,1628;126,1750;126,1747;128,1746;130,1746;6,1622" o:connectangles="0,0,0,0,0,0,0,0"/>
              </v:shape>
              <v:shape id="Freeform 320" o:spid="_x0000_s1166"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9b8IA&#10;AADcAAAADwAAAGRycy9kb3ducmV2LnhtbERPS2sCMRC+F/ofwgi9FM22sEVXo5TShfZmfR+Hzbi7&#10;mEyWTdT035tCwdt8fM+ZLaI14kK9bx0reBllIIgrp1uuFWzW5XAMwgdkjcYxKfglD4v548MMC+2u&#10;/EOXVahFCmFfoIImhK6Q0lcNWfQj1xEn7uh6iyHBvpa6x2sKt0a+ZtmbtNhyamiwo4+GqtPqbBWU&#10;cR135f7w7b3Jz3n7bJb551app0F8n4IIFMNd/O/+0mn+ZAJ/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L1vwgAAANwAAAAPAAAAAAAAAAAAAAAAAJgCAABkcnMvZG93&#10;bnJldi54bWxQSwUGAAAAAAQABAD1AAAAhwMAAAAA&#10;" path="m2602,2r,8l2607,5r-3,l2602,2xe" fillcolor="#7e7e7e" stroked="f">
                <v:path arrowok="t" o:connecttype="custom" o:connectlocs="2602,1622;2602,1630;2607,1625;2604,1625;2602,1622" o:connectangles="0,0,0,0,0"/>
              </v:shape>
              <v:shape id="Freeform 321" o:spid="_x0000_s1167"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gCcMA&#10;AADcAAAADwAAAGRycy9kb3ducmV2LnhtbESPQWsCMRSE70L/Q3gFL6LZCitla5QiLtSb1VY9Pjav&#10;u0uTl2UTNf57UxB6HGbmG2a+jNaIC/W+dazgZZKBIK6cbrlW8LUvx68gfEDWaByTght5WC6eBnMs&#10;tLvyJ112oRYJwr5ABU0IXSGlrxqy6CeuI07ej+sthiT7WuoerwlujZxm2UxabDktNNjRqqHqd3e2&#10;Csq4j4fyeNp4b/Jz3o7MNl9/KzV8ju9vIALF8B9+tD+0gkSEv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3gCcMAAADcAAAADwAAAAAAAAAAAAAAAACYAgAAZHJzL2Rv&#10;d25yZXYueG1sUEsFBgAAAAAEAAQA9QAAAIgDAAAAAA==&#10;" path="m5,1l2,5,5,8,5,5,3,5,5,2r1,l5,1xe" fillcolor="#7e7e7e" stroked="f">
                <v:path arrowok="t" o:connecttype="custom" o:connectlocs="5,1621;2,1625;5,1628;5,1625;3,1625;5,1622;6,1622;5,1621" o:connectangles="0,0,0,0,0,0,0,0"/>
              </v:shape>
              <v:shape id="Freeform 322" o:spid="_x0000_s1168"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ksQA&#10;AADcAAAADwAAAGRycy9kb3ducmV2LnhtbESPQWsCMRSE74L/ITzBi2hWYUtZjVJKF/TWaqseH5vn&#10;7tLkZdlEjf++KRR6HGbmG2a1idaIG/W+daxgPstAEFdOt1wr+DyU02cQPiBrNI5JwYM8bNbDwQoL&#10;7e78Qbd9qEWCsC9QQRNCV0jpq4Ys+pnriJN3cb3FkGRfS93jPcGtkYsse5IWW04LDXb02lD1vb9a&#10;BWU8xGN5Ou+8N/k1byfmPX/7Umo8ii9LEIFi+A//tbdawSKb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RZLEAAAA3AAAAA8AAAAAAAAAAAAAAAAAmAIAAGRycy9k&#10;b3ducmV2LnhtbFBLBQYAAAAABAAEAPUAAACJAwAAAAA=&#10;" path="m5,2l3,5r2,l5,2xe" fillcolor="#7e7e7e" stroked="f">
                <v:path arrowok="t" o:connecttype="custom" o:connectlocs="5,1622;3,1625;5,1625;5,1622" o:connectangles="0,0,0,0"/>
              </v:shape>
              <v:shape id="Freeform 323" o:spid="_x0000_s1169"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b5cUA&#10;AADcAAAADwAAAGRycy9kb3ducmV2LnhtbESPT2sCMRTE7wW/Q3gFL6VmXViRrVGKuKC3Vu2f42Pz&#10;urs0eVk2UeO3bwqCx2FmfsMsVtEacabBd44VTCcZCOLa6Y4bBcdD9TwH4QOyRuOYFFzJw2o5elhg&#10;qd2F3+m8D41IEPYlKmhD6Espfd2SRT9xPXHyftxgMSQ5NFIPeElwa2SeZTNpseO00GJP65bq3/3J&#10;KqjiIX5WX987701xKron81ZsPpQaP8bXFxCBYriHb+2tVpBn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9vlxQAAANwAAAAPAAAAAAAAAAAAAAAAAJgCAABkcnMv&#10;ZG93bnJldi54bWxQSwUGAAAAAAQABAD1AAAAigMAAAAA&#10;" path="m2603,1l5,1,9,5r2591,l2603,1xe" fillcolor="#7e7e7e" stroked="f">
                <v:path arrowok="t" o:connecttype="custom" o:connectlocs="2603,1621;5,1621;9,1625;2600,1625;2603,1621" o:connectangles="0,0,0,0,0"/>
              </v:shape>
              <v:shape id="Freeform 324" o:spid="_x0000_s1170"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fsUA&#10;AADcAAAADwAAAGRycy9kb3ducmV2LnhtbESPQWsCMRSE74X+h/AKvRTN1rIiq1FK6UJ7s9qqx8fm&#10;ubuYvCybqPHfG6HgcZiZb5jZIlojTtT71rGC12EGgrhyuuVawe+6HExA+ICs0TgmBRfysJg/Psyw&#10;0O7MP3RahVokCPsCFTQhdIWUvmrIoh+6jjh5e9dbDEn2tdQ9nhPcGjnKsrG02HJaaLCjj4aqw+po&#10;FZRxHTfldvftvcmPeftilvnnn1LPT/F9CiJQDPfwf/tLKxhlb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35+xQAAANwAAAAPAAAAAAAAAAAAAAAAAJgCAABkcnMv&#10;ZG93bnJldi54bWxQSwUGAAAAAAQABAD1AAAAigMAAAAA&#10;" path="m2603,1r-1,1l2604,5r3,l2603,1xe" fillcolor="#7e7e7e" stroked="f">
                <v:path arrowok="t" o:connecttype="custom" o:connectlocs="2603,1621;2602,1622;2604,1625;2607,1625;2603,1621" o:connectangles="0,0,0,0,0"/>
              </v:shape>
              <v:shape id="Freeform 325" o:spid="_x0000_s1171" style="position:absolute;left:122;top:1620;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mCsUA&#10;AADcAAAADwAAAGRycy9kb3ducmV2LnhtbESPQWsCMRSE74X+h/AKvRTNVroiq1FK6UJ7s9qqx8fm&#10;ubuYvCybqPHfG6HgcZiZb5jZIlojTtT71rGC12EGgrhyuuVawe+6HExA+ICs0TgmBRfysJg/Psyw&#10;0O7MP3RahVokCPsCFTQhdIWUvmrIoh+6jjh5e9dbDEn2tdQ9nhPcGjnKsrG02HJaaLCjj4aqw+po&#10;FZRxHTfldvftvcmPeftilvnnn1LPT/F9CiJQDPfwf/tLKxhlb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YKxQAAANwAAAAPAAAAAAAAAAAAAAAAAJgCAABkcnMv&#10;ZG93bnJldi54bWxQSwUGAAAAAAQABAD1AAAAigMAAAAA&#10;" path="m2607,1r-4,l2607,5r,-4xe" fillcolor="#7e7e7e" stroked="f">
                <v:path arrowok="t" o:connecttype="custom" o:connectlocs="2607,1621;2603,1621;2607,1625;2607,1621" o:connectangles="0,0,0,0"/>
              </v:shape>
              <v:shape id="Picture 326" o:spid="_x0000_s1172" type="#_x0000_t75" style="position:absolute;left:250;top:1889;width:235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52XDAAAA3AAAAA8AAABkcnMvZG93bnJldi54bWxEj9GKwjAURN8X/IdwBd/WRNFFq1GkIIrC&#10;wnb9gEtzbavNTWmi1r83wsI+DjNzhlmuO1uLO7W+cqxhNFQgiHNnKi40nH63nzMQPiAbrB2Thid5&#10;WK96H0tMjHvwD92zUIgIYZ+ghjKEJpHS5yVZ9EPXEEfv7FqLIcq2kKbFR4TbWo6V+pIWK44LJTaU&#10;lpRfs5uNFLVJ7WyXpTeVHr7ndTW5HI97rQf9brMAEagL/+G/9t5oGKsp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PnZcMAAADcAAAADwAAAAAAAAAAAAAAAACf&#10;AgAAZHJzL2Rvd25yZXYueG1sUEsFBgAAAAAEAAQA9wAAAI8DAAAAAA==&#10;">
                <v:imagedata r:id="rId46" o:title=""/>
              </v:shape>
            </v:group>
            <v:group id="Group 327" o:spid="_x0000_s1173" style="position:absolute;left:251;top:128;width:2350;height:756" coordorigin="251,128" coordsize="235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8" o:spid="_x0000_s1174" style="position:absolute;left:251;top:128;width:2350;height:756;visibility:visible;mso-wrap-style:square;v-text-anchor:top" coordsize="235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FsYA&#10;AADcAAAADwAAAGRycy9kb3ducmV2LnhtbESPQWvCQBSE7wX/w/IEb3VjqLamrhKEgB48NBV6fc2+&#10;JsHs25jduum/7wqFHoeZ+YbZ7EbTiRsNrrWsYDFPQBBXVrdcKzi/F48vIJxH1thZJgU/5GC3nTxs&#10;MNM28BvdSl+LCGGXoYLG+z6T0lUNGXRz2xNH78sOBn2UQy31gCHCTSfTJFlJgy3HhQZ72jdUXcpv&#10;o+D4tDyF8PG5LM+0Ol4vebFe5wulZtMxfwXhafT/4b/2QStIk2e4n4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FsYAAADcAAAADwAAAAAAAAAAAAAAAACYAgAAZHJz&#10;L2Rvd25yZXYueG1sUEsFBgAAAAAEAAQA9QAAAIsDAAAAAA==&#10;" path="m,756r2349,l2349,,,,,756xe" fillcolor="#133911" stroked="f">
                <v:path arrowok="t" o:connecttype="custom" o:connectlocs="0,884;2349,884;2349,128;0,128;0,884" o:connectangles="0,0,0,0,0"/>
              </v:shape>
            </v:group>
            <v:group id="Group 329" o:spid="_x0000_s1175" style="position:absolute;left:125;top:2;width:2602;height:126" coordorigin="125,2" coordsize="260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30" o:spid="_x0000_s1176" style="position:absolute;left:125;top:2;width:2602;height:126;visibility:visible;mso-wrap-style:square;v-text-anchor:top" coordsize="260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F08UA&#10;AADcAAAADwAAAGRycy9kb3ducmV2LnhtbESP3WrCQBSE7wu+w3IK3oS6Wy+CRlepBSFQEPx5gNPs&#10;yQ9mz4bsaqJP3y0UejnMzDfMejvaVtyp941jDe8zBYK4cKbhSsPlvH9bgPAB2WDrmDQ8yMN2M3lZ&#10;Y2bcwEe6n0IlIoR9hhrqELpMSl/UZNHPXEccvdL1FkOUfSVNj0OE21bOlUqlxYbjQo0dfdZUXE83&#10;qyF3h6T82j0XR6zosFffpUyTUuvp6/ixAhFoDP/hv3ZuNMzV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IXTxQAAANwAAAAPAAAAAAAAAAAAAAAAAJgCAABkcnMv&#10;ZG93bnJldi54bWxQSwUGAAAAAAQABAD1AAAAigMAAAAA&#10;" path="m2601,l,,126,126r2349,l2601,xe" fillcolor="#41603f" stroked="f">
                <v:path arrowok="t" o:connecttype="custom" o:connectlocs="2601,2;0,2;126,128;2475,128;2601,2" o:connectangles="0,0,0,0,0"/>
              </v:shape>
            </v:group>
            <v:group id="Group 331" o:spid="_x0000_s1177" style="position:absolute;left:125;top:884;width:2602;height:126" coordorigin="125,884" coordsize="260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32" o:spid="_x0000_s1178" style="position:absolute;left:125;top:884;width:2602;height:126;visibility:visible;mso-wrap-style:square;v-text-anchor:top" coordsize="260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usUA&#10;AADcAAAADwAAAGRycy9kb3ducmV2LnhtbESPT2sCMRTE70K/Q3iF3jRZobKuRilFoT1UqH/w+tg8&#10;N4ubl3UTdfvtm0LB4zAzv2Hmy9414kZdqD1ryEYKBHHpTc2Vhv1uPcxBhIhssPFMGn4owHLxNJhj&#10;Yfydv+m2jZVIEA4FarAxtoWUobTkMIx8S5y8k+8cxiS7SpoO7wnuGjlWaiId1pwWLLb0bqk8b69O&#10;w+pLbSbTzcGuj9P8crjya07qU+uX5/5tBiJSHx/h//aH0TDOM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i6xQAAANwAAAAPAAAAAAAAAAAAAAAAAJgCAABkcnMv&#10;ZG93bnJldi54bWxQSwUGAAAAAAQABAD1AAAAigMAAAAA&#10;" path="m2475,l126,,,126r2601,l2475,xe" fillcolor="#0f2e0d" stroked="f">
                <v:path arrowok="t" o:connecttype="custom" o:connectlocs="2475,884;126,884;0,1010;2601,1010;2475,884" o:connectangles="0,0,0,0,0"/>
              </v:shape>
            </v:group>
            <v:group id="Group 333" o:spid="_x0000_s1179" style="position:absolute;left:125;top:2;width:126;height:1008" coordorigin="125,2" coordsize="12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34" o:spid="_x0000_s1180" style="position:absolute;left:125;top:2;width:126;height:1008;visibility:visible;mso-wrap-style:square;v-text-anchor:top" coordsize="12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7sMA&#10;AADcAAAADwAAAGRycy9kb3ducmV2LnhtbESPT4vCMBDF74LfIYzgzaZVkaUaRQRZ8eafXfY4NGNb&#10;bCYlydrut98IgsfHm/d781ab3jTiQc7XlhVkSQqCuLC65lLB9bKffIDwAVljY5kU/JGHzXo4WGGu&#10;bccnepxDKSKEfY4KqhDaXEpfVGTQJ7Yljt7NOoMhSldK7bCLcNPIaZoupMGaY0OFLe0qKu7nXxPf&#10;8N+ft711X4vs58hHOZt3251Vajzqt0sQgfrwPn6lD1rBNJvBc0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q7sMAAADcAAAADwAAAAAAAAAAAAAAAACYAgAAZHJzL2Rv&#10;d25yZXYueG1sUEsFBgAAAAAEAAQA9QAAAIgDAAAAAA==&#10;" path="m,l,1008,126,882r,-756l,xe" fillcolor="#718870" stroked="f">
                <v:path arrowok="t" o:connecttype="custom" o:connectlocs="0,2;0,1010;126,884;126,128;0,2" o:connectangles="0,0,0,0,0"/>
              </v:shape>
            </v:group>
            <v:group id="Group 335" o:spid="_x0000_s1181" style="position:absolute;left:2600;top:2;width:126;height:1008" coordorigin="2600,2" coordsize="12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36" o:spid="_x0000_s1182" style="position:absolute;left:2600;top:2;width:126;height:1008;visibility:visible;mso-wrap-style:square;v-text-anchor:top" coordsize="12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YlMIA&#10;AADcAAAADwAAAGRycy9kb3ducmV2LnhtbESP3YrCMBCF7wXfIczC3mmqYC1doyyC4MLeqPsAQzP9&#10;wWTSNrHWt98IgpeHM+c7cza70RoxUO8bxwoW8wQEceF0w5WCv8thloHwAVmjcUwKHuRht51ONphr&#10;d+cTDedQiQhhn6OCOoQ2l9IXNVn0c9cSR690vcUQZV9J3eM9wq2RyyRJpcWGY0ONLe1rKq7nm41v&#10;ZNp1pUHDq+6nHK4ppuvfTqnPj/H7C0SgMbyPX+mjVrBcrOA5JhJ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ZiUwgAAANwAAAAPAAAAAAAAAAAAAAAAAJgCAABkcnMvZG93&#10;bnJldi54bWxQSwUGAAAAAAQABAD1AAAAhwMAAAAA&#10;" path="m126,l,126,,882r126,126l126,xe" fillcolor="#0b220a" stroked="f">
                <v:path arrowok="t" o:connecttype="custom" o:connectlocs="126,2;0,128;0,884;126,1010;126,2" o:connectangles="0,0,0,0,0"/>
              </v:shape>
            </v:group>
            <v:group id="Group 337" o:spid="_x0000_s1183" style="position:absolute;left:122;width:10526;height:7753" coordorigin="122" coordsize="10526,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38" o:spid="_x0000_s1184"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uoMUA&#10;AADcAAAADwAAAGRycy9kb3ducmV2LnhtbESPT2sCMRTE70K/Q3gFL1KzCmvLapQiLthb1f47PjbP&#10;3aXJy7KJmn77RhA8DjPzG2axitaIM/W+daxgMs5AEFdOt1wr+DiUTy8gfEDWaByTgj/ysFo+DBZY&#10;aHfhHZ33oRYJwr5ABU0IXSGlrxqy6MeuI07e0fUWQ5J9LXWPlwS3Rk6zbCYttpwWGuxo3VD1uz9Z&#10;BWU8xK/y++fNe5Of8nZk3vPNp1LDx/g6BxEohnv41t5qBdPJM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e6gxQAAANwAAAAPAAAAAAAAAAAAAAAAAJgCAABkcnMv&#10;ZG93bnJldi54bWxQSwUGAAAAAAQABAD1AAAAigMAAAAA&#10;" path="m2607,l2,,,1,,1013r5,l2,1009r3,-3l5,8,2,5,5,1r2602,l2607,xe" fillcolor="#7e7e7e" stroked="f">
                <v:path arrowok="t" o:connecttype="custom" o:connectlocs="2607,0;2,0;0,1;0,1013;5,1013;2,1009;5,1006;5,8;2,5;5,1;2607,1;2607,0" o:connectangles="0,0,0,0,0,0,0,0,0,0,0,0"/>
              </v:shape>
              <v:shape id="Freeform 339" o:spid="_x0000_s1185"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60sEA&#10;AADcAAAADwAAAGRycy9kb3ducmV2LnhtbERPy2oCMRTdC/2HcAvdiGYUpsholCIOtLv6dnmZXGeG&#10;JjfDJGr6981C6PJw3otVtEbcqfetYwWTcQaCuHK65VrBYV+OZiB8QNZoHJOCX/KwWr4MFlho9+At&#10;3XehFimEfYEKmhC6QkpfNWTRj11HnLir6y2GBPta6h4fKdwaOc2yd2mx5dTQYEfrhqqf3c0qKOM+&#10;nsrz5ct7k9/ydmi+881RqbfX+DEHESiGf/HT/akVTCd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etLBAAAA3AAAAA8AAAAAAAAAAAAAAAAAmAIAAGRycy9kb3du&#10;cmV2LnhtbFBLBQYAAAAABAAEAPUAAACGAwAAAAA=&#10;" path="m3,1008r-1,1l5,1013r3,-3l5,1010r-2,-2xe" fillcolor="#7e7e7e" stroked="f">
                <v:path arrowok="t" o:connecttype="custom" o:connectlocs="3,1008;2,1009;5,1013;8,1010;5,1010;3,1008" o:connectangles="0,0,0,0,0,0"/>
              </v:shape>
              <v:shape id="Freeform 340" o:spid="_x0000_s1186"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fScUA&#10;AADcAAAADwAAAGRycy9kb3ducmV2LnhtbESPT2sCMRTE70K/Q3gFL1KzCivtapQiLthb1f47PjbP&#10;3aXJy7KJmn77RhA8DjPzG2axitaIM/W+daxgMs5AEFdOt1wr+DiUT88gfEDWaByTgj/ysFo+DBZY&#10;aHfhHZ33oRYJwr5ABU0IXSGlrxqy6MeuI07e0fUWQ5J9LXWPlwS3Rk6zbCYttpwWGuxo3VD1uz9Z&#10;BWU8xK/y++fNe5Of8nZk3vPNp1LDx/g6BxEohnv41t5qBdPJC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9JxQAAANwAAAAPAAAAAAAAAAAAAAAAAJgCAABkcnMv&#10;ZG93bnJldi54bWxQSwUGAAAAAAQABAD1AAAAigMAAAAA&#10;" path="m2598,1008r-2588,l5,1013r2598,l2598,1008xe" fillcolor="#7e7e7e" stroked="f">
                <v:path arrowok="t" o:connecttype="custom" o:connectlocs="2598,1008;10,1008;5,1013;2603,1013;2598,1008" o:connectangles="0,0,0,0,0"/>
              </v:shape>
              <v:shape id="Freeform 341" o:spid="_x0000_s1187"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8acIA&#10;AADcAAAADwAAAGRycy9kb3ducmV2LnhtbERPz2vCMBS+D/wfwhvsMjS10CGdUYZY2G7Ournjo3m2&#10;xeSlNFGz/94cBjt+fL+X62iNuNLoe8cK5rMMBHHjdM+tgkNdTRcgfEDWaByTgl/ysF5NHpZYanfj&#10;T7ruQytSCPsSFXQhDKWUvunIop+5gThxJzdaDAmOrdQj3lK4NTLPshdpsefU0OFAm46a8/5iFVSx&#10;jt/V8efDe1Nciv7Z7Irtl1JPj/HtFUSgGP7Ff+53rSDP0/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LxpwgAAANwAAAAPAAAAAAAAAAAAAAAAAJgCAABkcnMvZG93&#10;bnJldi54bWxQSwUGAAAAAAQABAD1AAAAhwMAAAAA&#10;" path="m2481,883r-4,4l2603,1013r3,-3l2602,1010r,-6l2484,887r-3,l2481,883xe" fillcolor="#7e7e7e" stroked="f">
                <v:path arrowok="t" o:connecttype="custom" o:connectlocs="2481,883;2477,887;2603,1013;2606,1010;2602,1010;2602,1004;2484,887;2481,887;2481,883" o:connectangles="0,0,0,0,0,0,0,0,0"/>
              </v:shape>
              <v:shape id="Freeform 342" o:spid="_x0000_s1188"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Z8sUA&#10;AADcAAAADwAAAGRycy9kb3ducmV2LnhtbESPzWrDMBCE74W8g9hALyWRY3AJbpRQQgztrUman+Ni&#10;bW1TaWUsJVHfvgoUehxm5htmsYrWiCsNvnOsYDbNQBDXTnfcKPjcV5M5CB+QNRrHpOCHPKyWo4cF&#10;ltrdeEvXXWhEgrAvUUEbQl9K6euWLPqp64mT9+UGiyHJoZF6wFuCWyPzLHuWFjtOCy32tG6p/t5d&#10;rIIq7uOxOp3fvTfFpeiezEexOSj1OI6vLyACxfAf/mu/aQV5PoP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BnyxQAAANwAAAAPAAAAAAAAAAAAAAAAAJgCAABkcnMv&#10;ZG93bnJldi54bWxQSwUGAAAAAAQABAD1AAAAigMAAAAA&#10;" path="m2607,1009r-4,4l2607,1013r,-4xe" fillcolor="#7e7e7e" stroked="f">
                <v:path arrowok="t" o:connecttype="custom" o:connectlocs="2607,1009;2603,1013;2607,1013;2607,1009" o:connectangles="0,0,0,0"/>
              </v:shape>
              <v:shape id="Freeform 343" o:spid="_x0000_s1189"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HhcUA&#10;AADcAAAADwAAAGRycy9kb3ducmV2LnhtbESPT2sCMRTE7wW/Q3gFL6VmXViRrVGKuKC3Vu2f42Pz&#10;urs0eVk2UeO3bwqCx2FmfsMsVtEacabBd44VTCcZCOLa6Y4bBcdD9TwH4QOyRuOYFFzJw2o5elhg&#10;qd2F3+m8D41IEPYlKmhD6Espfd2SRT9xPXHyftxgMSQ5NFIPeElwa2SeZTNpseO00GJP65bq3/3J&#10;KqjiIX5WX987701xKron81ZsPpQaP8bXFxCBYriHb+2tVpDn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oeFxQAAANwAAAAPAAAAAAAAAAAAAAAAAJgCAABkcnMv&#10;ZG93bnJldi54bWxQSwUGAAAAAAQABAD1AAAAigMAAAAA&#10;" path="m5,1006r-2,2l5,1010r,-4xe" fillcolor="#7e7e7e" stroked="f">
                <v:path arrowok="t" o:connecttype="custom" o:connectlocs="5,1006;3,1008;5,1010;5,1006" o:connectangles="0,0,0,0"/>
              </v:shape>
              <v:shape id="Freeform 344" o:spid="_x0000_s1190"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iHsYA&#10;AADcAAAADwAAAGRycy9kb3ducmV2LnhtbESPzWrDMBCE74W+g9hCLqWR4+BQ3CihlBiSW5uftsfF&#10;2tgm0spYSqK+fVUo5DjMzDfMfBmtERcafOdYwWScgSCune64UbDfVU/PIHxA1mgck4If8rBc3N/N&#10;sdTuyh902YZGJAj7EhW0IfSllL5uyaIfu544eUc3WAxJDo3UA14T3BqZZ9lMWuw4LbTY01tL9Wl7&#10;tgqquIuf1df3xntTnIvu0bwXq4NSo4f4+gIiUAy38H97rRXk+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iHsYAAADcAAAADwAAAAAAAAAAAAAAAACYAgAAZHJz&#10;L2Rvd25yZXYueG1sUEsFBgAAAAAEAAQA9QAAAIsDAAAAAA==&#10;" path="m126,884l5,1006r,4l8,1010,131,887r-5,l126,884xe" fillcolor="#7e7e7e" stroked="f">
                <v:path arrowok="t" o:connecttype="custom" o:connectlocs="126,884;5,1006;5,1010;8,1010;131,887;126,887;126,884" o:connectangles="0,0,0,0,0,0,0"/>
              </v:shape>
              <v:shape id="Freeform 345" o:spid="_x0000_s1191"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6asYA&#10;AADcAAAADwAAAGRycy9kb3ducmV2LnhtbESPzWrDMBCE74W+g9hCLqWRY+JQ3CihlBiSW5uftsfF&#10;2tgm0spYSqK+fVUo5DjMzDfMfBmtERcafOdYwWScgSCune64UbDfVU/PIHxA1mgck4If8rBc3N/N&#10;sdTuyh902YZGJAj7EhW0IfSllL5uyaIfu544eUc3WAxJDo3UA14T3BqZZ9lMWuw4LbTY01tL9Wl7&#10;tgqquIuf1df3xntTnIvu0bwXq4NSo4f4+gIiUAy38H97rRXk+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6asYAAADcAAAADwAAAAAAAAAAAAAAAACYAgAAZHJz&#10;L2Rvd25yZXYueG1sUEsFBgAAAAAEAAQA9QAAAIsDAAAAAA==&#10;" path="m2602,1004r,6l2604,1008r2,l2602,1004xe" fillcolor="#7e7e7e" stroked="f">
                <v:path arrowok="t" o:connecttype="custom" o:connectlocs="2602,1004;2602,1010;2604,1008;2606,1008;2602,1004" o:connectangles="0,0,0,0,0"/>
              </v:shape>
              <v:shape id="Freeform 346" o:spid="_x0000_s1192"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f8cUA&#10;AADcAAAADwAAAGRycy9kb3ducmV2LnhtbESPT2sCMRTE7wW/Q3gFL6VmXViRrVGKuKC3Vu2f42Pz&#10;urs0eVk2UeO3bwqCx2FmfsMsVtEacabBd44VTCcZCOLa6Y4bBcdD9TwH4QOyRuOYFFzJw2o5elhg&#10;qd2F3+m8D41IEPYlKmhD6Espfd2SRT9xPXHyftxgMSQ5NFIPeElwa2SeZTNpseO00GJP65bq3/3J&#10;KqjiIX5WX987701xKron81ZsPpQaP8bXFxCBYriHb+2tVpDnB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x/xxQAAANwAAAAPAAAAAAAAAAAAAAAAAJgCAABkcnMv&#10;ZG93bnJldi54bWxQSwUGAAAAAAQABAD1AAAAigMAAAAA&#10;" path="m2606,1008r-2,l2602,1010r4,l2607,1009r-1,-1xe" fillcolor="#7e7e7e" stroked="f">
                <v:path arrowok="t" o:connecttype="custom" o:connectlocs="2606,1008;2604,1008;2602,1010;2606,1010;2607,1009;2606,1008" o:connectangles="0,0,0,0,0,0"/>
              </v:shape>
              <v:shape id="Freeform 347" o:spid="_x0000_s1193"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BhsUA&#10;AADcAAAADwAAAGRycy9kb3ducmV2LnhtbESPzWrDMBCE74W8g9hAL6WRa3AIbpRQQgztrflre1ys&#10;rW0qrYylJOrbR4FAjsPMfMPMl9EacaLBd44VvEwyEMS10x03Cva76nkGwgdkjcYxKfgnD8vF6GGO&#10;pXZn3tBpGxqRIOxLVNCG0JdS+roli37ieuLk/brBYkhyaKQe8Jzg1sg8y6bSYsdpocWeVi3Vf9uj&#10;VVDFXfyqvn8+vDfFseiezGexPij1OI5vryACxXAP39rvWkGeT+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YGGxQAAANwAAAAPAAAAAAAAAAAAAAAAAJgCAABkcnMv&#10;ZG93bnJldi54bWxQSwUGAAAAAAQABAD1AAAAigMAAAAA&#10;" path="m2607,5r-5,5l2602,1004r5,5l2607,5xe" fillcolor="#7e7e7e" stroked="f">
                <v:path arrowok="t" o:connecttype="custom" o:connectlocs="2607,5;2602,10;2602,1004;2607,1009;2607,5" o:connectangles="0,0,0,0,0"/>
              </v:shape>
              <v:shape id="Freeform 348" o:spid="_x0000_s1194"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kHcUA&#10;AADcAAAADwAAAGRycy9kb3ducmV2LnhtbESPzWrDMBCE74W8g9hALqWRa3Bb3CghhBrSW5vfHhdr&#10;Y5tIK2Mpifr2VaHQ4zAz3zCzRbRGXGnwnWMFj9MMBHHtdMeNgt22engB4QOyRuOYFHyTh8V8dDfD&#10;Ursbf9J1ExqRIOxLVNCG0JdS+roli37qeuLkndxgMSQ5NFIPeEtwa2SeZU/SYsdpocWeVi3V583F&#10;KqjiNh6q49e796a4FN29+Sje9kpNxnH5CiJQDP/hv/ZaK8jzZ/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SQdxQAAANwAAAAPAAAAAAAAAAAAAAAAAJgCAABkcnMv&#10;ZG93bnJldi54bWxQSwUGAAAAAAQABAD1AAAAigMAAAAA&#10;" path="m128,883r-2,1l126,887r5,l128,883xe" fillcolor="#7e7e7e" stroked="f">
                <v:path arrowok="t" o:connecttype="custom" o:connectlocs="128,883;126,884;126,887;131,887;128,883" o:connectangles="0,0,0,0,0"/>
              </v:shape>
              <v:shape id="Freeform 349" o:spid="_x0000_s1195"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wb8IA&#10;AADcAAAADwAAAGRycy9kb3ducmV2LnhtbERPz2vCMBS+D/wfwhvsMjS10CGdUYZY2G7Ournjo3m2&#10;xeSlNFGz/94cBjt+fL+X62iNuNLoe8cK5rMMBHHjdM+tgkNdTRcgfEDWaByTgl/ysF5NHpZYanfj&#10;T7ruQytSCPsSFXQhDKWUvunIop+5gThxJzdaDAmOrdQj3lK4NTLPshdpsefU0OFAm46a8/5iFVSx&#10;jt/V8efDe1Nciv7Z7Irtl1JPj/HtFUSgGP7Ff+53rSDP09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rBvwgAAANwAAAAPAAAAAAAAAAAAAAAAAJgCAABkcnMvZG93&#10;bnJldi54bWxQSwUGAAAAAAQABAD1AAAAhwMAAAAA&#10;" path="m130,883r-2,l131,887r2346,l2480,884r-2349,l130,883xe" fillcolor="#7e7e7e" stroked="f">
                <v:path arrowok="t" o:connecttype="custom" o:connectlocs="130,883;128,883;131,887;2477,887;2480,884;131,884;130,883" o:connectangles="0,0,0,0,0,0,0"/>
              </v:shape>
              <v:shape id="Freeform 350" o:spid="_x0000_s1196"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V9MUA&#10;AADcAAAADwAAAGRycy9kb3ducmV2LnhtbESPzWrDMBCE74W8g9hALqWRa3Bp3SghhBrSW5vfHhdr&#10;Y5tIK2Mpifr2VaHQ4zAz3zCzRbRGXGnwnWMFj9MMBHHtdMeNgt22engG4QOyRuOYFHyTh8V8dDfD&#10;Ursbf9J1ExqRIOxLVNCG0JdS+roli37qeuLkndxgMSQ5NFIPeEtwa2SeZU/SYsdpocWeVi3V583F&#10;KqjiNh6q49e796a4FN29+Sje9kpNxnH5CiJQDP/hv/ZaK8jzF/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hX0xQAAANwAAAAPAAAAAAAAAAAAAAAAAJgCAABkcnMv&#10;ZG93bnJldi54bWxQSwUGAAAAAAQABAD1AAAAigMAAAAA&#10;" path="m2481,883r,4l2484,887r-3,-4xe" fillcolor="#7e7e7e" stroked="f">
                <v:path arrowok="t" o:connecttype="custom" o:connectlocs="2481,883;2481,887;2484,887;2481,883" o:connectangles="0,0,0,0"/>
              </v:shape>
              <v:shape id="Freeform 351" o:spid="_x0000_s1197"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qtMIA&#10;AADcAAAADwAAAGRycy9kb3ducmV2LnhtbERPy2oCMRTdF/yHcAtuima0TJGpUUQc0F2r9bG8TG5n&#10;hiY3wyRq+vfNouDycN7zZbRG3Kj3rWMFk3EGgrhyuuVawdehHM1A+ICs0TgmBb/kYbkYPM2x0O7O&#10;n3Tbh1qkEPYFKmhC6AopfdWQRT92HXHivl1vMSTY11L3eE/h1shplr1Jiy2nhgY7WjdU/eyvVkEZ&#10;D/FUni87701+zdsX85FvjkoNn+PqHUSgGB7if/dWK5i+pvn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Sq0wgAAANwAAAAPAAAAAAAAAAAAAAAAAJgCAABkcnMvZG93&#10;bnJldi54bWxQSwUGAAAAAAQABAD1AAAAhwMAAAAA&#10;" path="m126,130r,754l128,883r2,l129,882r2,l131,131r-3,l126,130xe" fillcolor="#7e7e7e" stroked="f">
                <v:path arrowok="t" o:connecttype="custom" o:connectlocs="126,130;126,884;128,883;130,883;129,882;131,882;131,131;128,131;126,130" o:connectangles="0,0,0,0,0,0,0,0,0"/>
              </v:shape>
              <v:shape id="Freeform 352" o:spid="_x0000_s1198"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PL8UA&#10;AADcAAAADwAAAGRycy9kb3ducmV2LnhtbESPQWsCMRSE74X+h/AKvRTNqmyR1ShFXKi3Vqvt8bF5&#10;7i5NXpZN1PjvTaHgcZiZb5j5MlojztT71rGC0TADQVw53XKt4GtXDqYgfEDWaByTgit5WC4eH+ZY&#10;aHfhTzpvQy0ShH2BCpoQukJKXzVk0Q9dR5y8o+sthiT7WuoeLwlujRxn2au02HJaaLCjVUPV7/Zk&#10;FZRxFw/l98/Ge5Of8vbFfOTrvVLPT/FtBiJQDPfwf/tdKxhPR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Y8vxQAAANwAAAAPAAAAAAAAAAAAAAAAAJgCAABkcnMv&#10;ZG93bnJldi54bWxQSwUGAAAAAAQABAD1AAAAigMAAAAA&#10;" path="m131,882r-2,l131,884r,-2xe" fillcolor="#7e7e7e" stroked="f">
                <v:path arrowok="t" o:connecttype="custom" o:connectlocs="131,882;129,882;131,884;131,882" o:connectangles="0,0,0,0"/>
              </v:shape>
              <v:shape id="Freeform 353" o:spid="_x0000_s1199"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RWMYA&#10;AADcAAAADwAAAGRycy9kb3ducmV2LnhtbESPzWrDMBCE74W+g9hCLqWR4+BQ3CihlBiSW5uftsfF&#10;2tgm0spYSqK+fVUo5DjMzDfMfBmtERcafOdYwWScgSCune64UbDfVU/PIHxA1mgck4If8rBc3N/N&#10;sdTuyh902YZGJAj7EhW0IfSllL5uyaIfu544eUc3WAxJDo3UA14T3BqZZ9lMWuw4LbTY01tL9Wl7&#10;tgqquIuf1df3xntTnIvu0bwXq4NSo4f4+gIiUAy38H97rRXk0x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8RWMYAAADcAAAADwAAAAAAAAAAAAAAAACYAgAAZHJz&#10;L2Rvd25yZXYueG1sUEsFBgAAAAAEAAQA9QAAAIsDAAAAAA==&#10;" path="m2476,882r-2345,l131,884r2345,l2476,882xe" fillcolor="#7e7e7e" stroked="f">
                <v:path arrowok="t" o:connecttype="custom" o:connectlocs="2476,882;131,882;131,884;2476,884;2476,882" o:connectangles="0,0,0,0,0"/>
              </v:shape>
              <v:shape id="Freeform 354" o:spid="_x0000_s1200"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0w8UA&#10;AADcAAAADwAAAGRycy9kb3ducmV2LnhtbESPQWsCMRSE74L/ITyhF6nZKlvKahQpXdBbq231+Ng8&#10;dxeTl2UTNf33TaHgcZiZb5jFKlojrtT71rGCp0kGgrhyuuVawee+fHwB4QOyRuOYFPyQh9VyOFhg&#10;od2NP+i6C7VIEPYFKmhC6AopfdWQRT9xHXHyTq63GJLsa6l7vCW4NXKaZc/SYstpocGOXhuqzruL&#10;VVDGffwuD8et9ya/5O3YvOdvX0o9jOJ6DiJQDPfwf3ujFUx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7TDxQAAANwAAAAPAAAAAAAAAAAAAAAAAJgCAABkcnMv&#10;ZG93bnJldi54bWxQSwUGAAAAAAQABAD1AAAAigMAAAAA&#10;" path="m2476,128r,756l2478,882r3,l2481,131r-3,l2476,128xe" fillcolor="#7e7e7e" stroked="f">
                <v:path arrowok="t" o:connecttype="custom" o:connectlocs="2476,128;2476,884;2478,882;2481,882;2481,131;2478,131;2476,128" o:connectangles="0,0,0,0,0,0,0"/>
              </v:shape>
              <v:shape id="Freeform 355" o:spid="_x0000_s1201"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st8YA&#10;AADcAAAADwAAAGRycy9kb3ducmV2LnhtbESPT2sCMRTE74LfIbxCL1KzWreU1ShSulBvVfvH42Pz&#10;uruYvCybqOm3NwWhx2FmfsMsVtEacabet44VTMYZCOLK6ZZrBR/78uEZhA/IGo1jUvBLHlbL4WCB&#10;hXYX3tJ5F2qRIOwLVNCE0BVS+qohi37sOuLk/bjeYkiyr6Xu8ZLg1shplj1Jiy2nhQY7emmoOu5O&#10;VkEZ9/Gr/D5svDf5KW9H5j1//VTq/i6u5yACxfAfvrXftILp4wz+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ost8YAAADcAAAADwAAAAAAAAAAAAAAAACYAgAAZHJz&#10;L2Rvd25yZXYueG1sUEsFBgAAAAAEAAQA9QAAAIsDAAAAAA==&#10;" path="m2481,882r-3,l2476,884r4,l2481,883r,-1xe" fillcolor="#7e7e7e" stroked="f">
                <v:path arrowok="t" o:connecttype="custom" o:connectlocs="2481,882;2478,882;2476,884;2480,884;2481,883;2481,882" o:connectangles="0,0,0,0,0,0"/>
              </v:shape>
              <v:shape id="Freeform 356" o:spid="_x0000_s1202"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JLMUA&#10;AADcAAAADwAAAGRycy9kb3ducmV2LnhtbESPQWsCMRSE74X+h/AKvRTN1rIiq1FK6UJ7s9qqx8fm&#10;ubuYvCybqPHfG6HgcZiZb5jZIlojTtT71rGC12EGgrhyuuVawe+6HExA+ICs0TgmBRfysJg/Psyw&#10;0O7MP3RahVokCPsCFTQhdIWUvmrIoh+6jjh5e9dbDEn2tdQ9nhPcGjnKsrG02HJaaLCjj4aqw+po&#10;FZRxHTfldvftvcmPeftilvnnn1LPT/F9CiJQDPfwf/tLKxi95X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oksxQAAANwAAAAPAAAAAAAAAAAAAAAAAJgCAABkcnMv&#10;ZG93bnJldi54bWxQSwUGAAAAAAQABAD1AAAAigMAAAAA&#10;" path="m130,126r-2,l126,127r,3l128,131r3,-4l130,126xe" fillcolor="#7e7e7e" stroked="f">
                <v:path arrowok="t" o:connecttype="custom" o:connectlocs="130,126;128,126;126,127;126,130;128,131;131,127;130,126" o:connectangles="0,0,0,0,0,0,0"/>
              </v:shape>
              <v:shape id="Freeform 357" o:spid="_x0000_s1203"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W8UA&#10;AADcAAAADwAAAGRycy9kb3ducmV2LnhtbESPQWsCMRSE74L/ITyhF6nZWlbKahQpXdBbq231+Ng8&#10;dxeTl2UTNf33TUHocZiZb5jFKlojrtT71rGCp0kGgrhyuuVawee+fHwB4QOyRuOYFPyQh9VyOFhg&#10;od2NP+i6C7VIEPYFKmhC6AopfdWQRT9xHXHyTq63GJLsa6l7vCW4NXKaZTNpseW00GBHrw1V593F&#10;KijjPn6Xh+PWe5Nf8nZs3vO3L6UeRnE9BxEohv/wvb3RCqbP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BdbxQAAANwAAAAPAAAAAAAAAAAAAAAAAJgCAABkcnMv&#10;ZG93bnJldi54bWxQSwUGAAAAAAQABAD1AAAAigMAAAAA&#10;" path="m2478,126r-2348,l131,127r-3,4l129,131r2,-3l2478,128r-1,-1l2478,126xe" fillcolor="#7e7e7e" stroked="f">
                <v:path arrowok="t" o:connecttype="custom" o:connectlocs="2478,126;130,126;131,127;128,131;129,131;131,128;2478,128;2477,127;2478,126" o:connectangles="0,0,0,0,0,0,0,0,0"/>
              </v:shape>
              <v:shape id="Freeform 358" o:spid="_x0000_s1204"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ywMYA&#10;AADcAAAADwAAAGRycy9kb3ducmV2LnhtbESPT2sCMRTE70K/Q3gFL1KztawtW6OU4kJ7809bPT42&#10;r7tLk5dlEzX99kYQPA4z8xtmtojWiCP1vnWs4HGcgSCunG65VvC1LR9eQPiArNE4JgX/5GExvxvM&#10;sNDuxGs6bkItEoR9gQqaELpCSl81ZNGPXUecvF/XWwxJ9rXUPZ4S3Bo5ybKptNhyWmiwo/eGqr/N&#10;wSoo4zb+lLv9p/cmP+TtyKzy5bdSw/v49goiUAy38LX9oRVMnp7hciYd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iywMYAAADcAAAADwAAAAAAAAAAAAAAAACYAgAAZHJz&#10;L2Rvd25yZXYueG1sUEsFBgAAAAAEAAQA9QAAAIsDAAAAAA==&#10;" path="m131,128r-2,3l131,131r,-3xe" fillcolor="#7e7e7e" stroked="f">
                <v:path arrowok="t" o:connecttype="custom" o:connectlocs="131,128;129,131;131,131;131,128" o:connectangles="0,0,0,0"/>
              </v:shape>
              <v:shape id="Freeform 359" o:spid="_x0000_s1205"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mssIA&#10;AADcAAAADwAAAGRycy9kb3ducmV2LnhtbERPy2oCMRTdF/yHcAtuima0TJGpUUQc0F2r9bG8TG5n&#10;hiY3wyRq+vfNouDycN7zZbRG3Kj3rWMFk3EGgrhyuuVawdehHM1A+ICs0TgmBb/kYbkYPM2x0O7O&#10;n3Tbh1qkEPYFKmhC6AopfdWQRT92HXHivl1vMSTY11L3eE/h1shplr1Jiy2nhgY7WjdU/eyvVkEZ&#10;D/FUni87701+zdsX85FvjkoNn+PqHUSgGB7if/dWK5i+pr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yaywgAAANwAAAAPAAAAAAAAAAAAAAAAAJgCAABkcnMvZG93&#10;bnJldi54bWxQSwUGAAAAAAQABAD1AAAAhwMAAAAA&#10;" path="m2476,128r-2345,l131,131r2345,l2476,128xe" fillcolor="#7e7e7e" stroked="f">
                <v:path arrowok="t" o:connecttype="custom" o:connectlocs="2476,128;131,128;131,131;2476,131;2476,128" o:connectangles="0,0,0,0,0"/>
              </v:shape>
              <v:shape id="Freeform 360" o:spid="_x0000_s1206"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DKcYA&#10;AADcAAAADwAAAGRycy9kb3ducmV2LnhtbESPT2sCMRTE70K/Q3gFL1Kztay0W6OU4kJ7809bPT42&#10;r7tLk5dlEzX99kYQPA4z8xtmtojWiCP1vnWs4HGcgSCunG65VvC1LR+eQfiArNE4JgX/5GExvxvM&#10;sNDuxGs6bkItEoR9gQqaELpCSl81ZNGPXUecvF/XWwxJ9rXUPZ4S3Bo5ybKptNhyWmiwo/eGqr/N&#10;wSoo4zb+lLv9p/cmP+TtyKzy5bdSw/v49goiUAy38LX9oRVMnl7gciYd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DKcYAAADcAAAADwAAAAAAAAAAAAAAAACYAgAAZHJz&#10;L2Rvd25yZXYueG1sUEsFBgAAAAAEAAQA9QAAAIsDAAAAAA==&#10;" path="m2478,128r-2,l2478,131r3,l2478,128xe" fillcolor="#7e7e7e" stroked="f">
                <v:path arrowok="t" o:connecttype="custom" o:connectlocs="2478,128;2476,128;2478,131;2481,131;2478,128" o:connectangles="0,0,0,0,0"/>
              </v:shape>
              <v:shape id="Freeform 361" o:spid="_x0000_s1207"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ZycIA&#10;AADcAAAADwAAAGRycy9kb3ducmV2LnhtbERPy2oCMRTdF/yHcAtuimaUTpGpUUQc0F2r9bG8TG5n&#10;hiY3wyRq+vfNouDycN7zZbRG3Kj3rWMFk3EGgrhyuuVawdehHM1A+ICs0TgmBb/kYbkYPM2x0O7O&#10;n3Tbh1qkEPYFKmhC6AopfdWQRT92HXHivl1vMSTY11L3eE/h1shplr1Jiy2nhgY7WjdU/eyvVkEZ&#10;D/FUni87701+zdsX85FvjkoNn+PqHUSgGB7if/dWK5i+pvn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1nJwgAAANwAAAAPAAAAAAAAAAAAAAAAAJgCAABkcnMvZG93&#10;bnJldi54bWxQSwUGAAAAAAQABAD1AAAAhwMAAAAA&#10;" path="m2602,2l2477,127r4,4l2481,126r5,l2602,10r,-8xe" fillcolor="#7e7e7e" stroked="f">
                <v:path arrowok="t" o:connecttype="custom" o:connectlocs="2602,2;2477,127;2481,131;2481,126;2486,126;2602,10;2602,2" o:connectangles="0,0,0,0,0,0,0"/>
              </v:shape>
              <v:shape id="Freeform 362" o:spid="_x0000_s1208"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8UsUA&#10;AADcAAAADwAAAGRycy9kb3ducmV2LnhtbESPQWsCMRSE74X+h/AKvRTNKm6R1ShFXKi3Vqvt8bF5&#10;7i5NXpZN1PjvTaHgcZiZb5j5MlojztT71rGC0TADQVw53XKt4GtXDqYgfEDWaByTgit5WC4eH+ZY&#10;aHfhTzpvQy0ShH2BCpoQukJKXzVk0Q9dR5y8o+sthiT7WuoeLwlujRxn2au02HJaaLCjVUPV7/Zk&#10;FZRxFw/l98/Ge5Of8vbFfOTrvVLPT/FtBiJQDPfwf/tdKxhPR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xSxQAAANwAAAAPAAAAAAAAAAAAAAAAAJgCAABkcnMv&#10;ZG93bnJldi54bWxQSwUGAAAAAAQABAD1AAAAigMAAAAA&#10;" path="m2486,126r-5,l2481,131r5,-5xe" fillcolor="#7e7e7e" stroked="f">
                <v:path arrowok="t" o:connecttype="custom" o:connectlocs="2486,126;2481,126;2481,131;2486,126" o:connectangles="0,0,0,0"/>
              </v:shape>
              <v:shape id="Freeform 363" o:spid="_x0000_s1209"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iJcYA&#10;AADcAAAADwAAAGRycy9kb3ducmV2LnhtbESPzWrDMBCE74W+g9hCLqWRY+JQ3CihlBiSW5uftsfF&#10;2tgm0spYSqK+fVUo5DjMzDfMfBmtERcafOdYwWScgSCune64UbDfVU/PIHxA1mgck4If8rBc3N/N&#10;sdTuyh902YZGJAj7EhW0IfSllL5uyaIfu544eUc3WAxJDo3UA14T3BqZZ9lMWuw4LbTY01tL9Wl7&#10;tgqquIuf1df3xntTnIvu0bwXq4NSo4f4+gIiUAy38H97rRXk0x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liJcYAAADcAAAADwAAAAAAAAAAAAAAAACYAgAAZHJz&#10;L2Rvd25yZXYueG1sUEsFBgAAAAAEAAQA9QAAAIsDAAAAAA==&#10;" path="m6,2l5,2r,6l126,130r,-3l128,126r2,l6,2xe" fillcolor="#7e7e7e" stroked="f">
                <v:path arrowok="t" o:connecttype="custom" o:connectlocs="6,2;5,2;5,8;126,130;126,127;128,126;130,126;6,2" o:connectangles="0,0,0,0,0,0,0,0"/>
              </v:shape>
              <v:shape id="Freeform 364" o:spid="_x0000_s1210"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HvsYA&#10;AADcAAAADwAAAGRycy9kb3ducmV2LnhtbESPT2sCMRTE74LfIbxCL1KzWreU1ShSulBvVfvH42Pz&#10;uruYvCybqOm3NwWhx2FmfsMsVtEacabet44VTMYZCOLK6ZZrBR/78uEZhA/IGo1jUvBLHlbL4WCB&#10;hXYX3tJ5F2qRIOwLVNCE0BVS+qohi37sOuLk/bjeYkiyr6Xu8ZLg1shplj1Jiy2nhQY7emmoOu5O&#10;VkEZ9/Gr/D5svDf5KW9H5j1//VTq/i6u5yACxfAfvrXftILp7BH+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HvsYAAADcAAAADwAAAAAAAAAAAAAAAACYAgAAZHJz&#10;L2Rvd25yZXYueG1sUEsFBgAAAAAEAAQA9QAAAIsDAAAAAA==&#10;" path="m2602,2r,8l2607,5r-3,l2602,2xe" fillcolor="#7e7e7e" stroked="f">
                <v:path arrowok="t" o:connecttype="custom" o:connectlocs="2602,2;2602,10;2607,5;2604,5;2602,2" o:connectangles="0,0,0,0,0"/>
              </v:shape>
              <v:shape id="Freeform 365" o:spid="_x0000_s1211"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ysUA&#10;AADcAAAADwAAAGRycy9kb3ducmV2LnhtbESPQWsCMRSE74L/ITyhF6nZilvKahQpXdBbq231+Ng8&#10;dxeTl2UTNf33TaHgcZiZb5jFKlojrtT71rGCp0kGgrhyuuVawee+fHwB4QOyRuOYFPyQh9VyOFhg&#10;od2NP+i6C7VIEPYFKmhC6AopfdWQRT9xHXHyTq63GJLsa6l7vCW4NXKaZc/SYstpocGOXhuqzruL&#10;VVDGffwuD8et9ya/5O3YvOdvX0o9jOJ6DiJQDPfwf3ujFUx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F/KxQAAANwAAAAPAAAAAAAAAAAAAAAAAJgCAABkcnMv&#10;ZG93bnJldi54bWxQSwUGAAAAAAQABAD1AAAAigMAAAAA&#10;" path="m5,1l2,5,5,8,5,5,3,5,5,2r1,l5,1xe" fillcolor="#7e7e7e" stroked="f">
                <v:path arrowok="t" o:connecttype="custom" o:connectlocs="5,1;2,5;5,8;5,5;3,5;5,2;6,2;5,1" o:connectangles="0,0,0,0,0,0,0,0"/>
              </v:shape>
              <v:shape id="Freeform 366" o:spid="_x0000_s1212"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6UcUA&#10;AADcAAAADwAAAGRycy9kb3ducmV2LnhtbESPQWsCMRSE74X+h/AKvRTNVroiq1FK6UJ7s9qqx8fm&#10;ubuYvCybqPHfG6HgcZiZb5jZIlojTtT71rGC12EGgrhyuuVawe+6HExA+ICs0TgmBRfysJg/Psyw&#10;0O7MP3RahVokCPsCFTQhdIWUvmrIoh+6jjh5e9dbDEn2tdQ9nhPcGjnKsrG02HJaaLCjj4aqw+po&#10;FZRxHTfldvftvcmPeftilvnnn1LPT/F9CiJQDPfwf/tLKxi95X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PpRxQAAANwAAAAPAAAAAAAAAAAAAAAAAJgCAABkcnMv&#10;ZG93bnJldi54bWxQSwUGAAAAAAQABAD1AAAAigMAAAAA&#10;" path="m5,2l3,5r2,l5,2xe" fillcolor="#7e7e7e" stroked="f">
                <v:path arrowok="t" o:connecttype="custom" o:connectlocs="5,2;3,5;5,5;5,2" o:connectangles="0,0,0,0"/>
              </v:shape>
              <v:shape id="Freeform 367" o:spid="_x0000_s1213"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kJsUA&#10;AADcAAAADwAAAGRycy9kb3ducmV2LnhtbESPQWsCMRSE74L/ITyhF6nZSlfKahQpXdBbq231+Ng8&#10;dxeTl2UTNf33TUHocZiZb5jFKlojrtT71rGCp0kGgrhyuuVawee+fHwB4QOyRuOYFPyQh9VyOFhg&#10;od2NP+i6C7VIEPYFKmhC6AopfdWQRT9xHXHyTq63GJLsa6l7vCW4NXKaZTNpseW00GBHrw1V593F&#10;KijjPn6Xh+PWe5Nf8nZs3vO3L6UeRnE9BxEohv/wvb3RCqbP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mQmxQAAANwAAAAPAAAAAAAAAAAAAAAAAJgCAABkcnMv&#10;ZG93bnJldi54bWxQSwUGAAAAAAQABAD1AAAAigMAAAAA&#10;" path="m2603,1l5,1,9,5r2591,l2603,1xe" fillcolor="#7e7e7e" stroked="f">
                <v:path arrowok="t" o:connecttype="custom" o:connectlocs="2603,1;5,1;9,5;2600,5;2603,1" o:connectangles="0,0,0,0,0"/>
              </v:shape>
              <v:shape id="Freeform 368" o:spid="_x0000_s1214"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BvcYA&#10;AADcAAAADwAAAGRycy9kb3ducmV2LnhtbESPT2sCMRTE70K/Q3gFL1Kzla4tW6OU4kJ7809bPT42&#10;r7tLk5dlEzX99kYQPA4z8xtmtojWiCP1vnWs4HGcgSCunG65VvC1LR9eQPiArNE4JgX/5GExvxvM&#10;sNDuxGs6bkItEoR9gQqaELpCSl81ZNGPXUecvF/XWwxJ9rXUPZ4S3Bo5ybKptNhyWmiwo/eGqr/N&#10;wSoo4zb+lLv9p/cmP+TtyKzy5bdSw/v49goiUAy38LX9oRVMnp7hciYd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7BvcYAAADcAAAADwAAAAAAAAAAAAAAAACYAgAAZHJz&#10;L2Rvd25yZXYueG1sUEsFBgAAAAAEAAQA9QAAAIsDAAAAAA==&#10;" path="m2603,1r-1,1l2604,5r3,l2603,1xe" fillcolor="#7e7e7e" stroked="f">
                <v:path arrowok="t" o:connecttype="custom" o:connectlocs="2603,1;2602,2;2604,5;2607,5;2603,1" o:connectangles="0,0,0,0,0"/>
              </v:shape>
              <v:shape id="Freeform 369" o:spid="_x0000_s1215" style="position:absolute;left:122;width:2607;height:1013;visibility:visible;mso-wrap-style:square;v-text-anchor:top" coordsize="260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Vz8IA&#10;AADcAAAADwAAAGRycy9kb3ducmV2LnhtbERPy2oCMRTdF/yHcAtuimaUTpGpUUQc0F2r9bG8TG5n&#10;hiY3wyRq+vfNouDycN7zZbRG3Kj3rWMFk3EGgrhyuuVawdehHM1A+ICs0TgmBb/kYbkYPM2x0O7O&#10;n3Tbh1qkEPYFKmhC6AopfdWQRT92HXHivl1vMSTY11L3eE/h1shplr1Jiy2nhgY7WjdU/eyvVkEZ&#10;D/FUni87701+zdsX85FvjkoNn+PqHUSgGB7if/dWK5i+pr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VXPwgAAANwAAAAPAAAAAAAAAAAAAAAAAJgCAABkcnMvZG93&#10;bnJldi54bWxQSwUGAAAAAAQABAD1AAAAhwMAAAAA&#10;" path="m2607,1r-4,l2607,5r,-4xe" fillcolor="#7e7e7e" stroked="f">
                <v:path arrowok="t" o:connecttype="custom" o:connectlocs="2607,1;2603,1;2607,5;2607,1" o:connectangles="0,0,0,0"/>
              </v:shape>
              <v:shape id="Picture 370" o:spid="_x0000_s1216" type="#_x0000_t75" style="position:absolute;left:250;top:271;width:2352;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UgbEAAAA3AAAAA8AAABkcnMvZG93bnJldi54bWxEj92KwjAUhO+FfYdwFryRNVl/9qcaRSpC&#10;8U53H+DQnG2LzUm3iba+vREEL4eZ+YZZrntbiwu1vnKs4X2sQBDnzlRcaPj92b19gfAB2WDtmDRc&#10;ycN69TJYYmJcxwe6HEMhIoR9ghrKEJpESp+XZNGPXUMcvT/XWgxRtoU0LXYRbms5UepDWqw4LpTY&#10;UFpSfjqerQbeHvab1GWj6X/3qdRuXoU0S7UevvabBYhAfXiGH+3MaJjMvuF+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gUgbEAAAA3AAAAA8AAAAAAAAAAAAAAAAA&#10;nwIAAGRycy9kb3ducmV2LnhtbFBLBQYAAAAABAAEAPcAAACQAwAAAAA=&#10;">
                <v:imagedata r:id="rId47" o:title=""/>
              </v:shape>
              <v:shapetype id="_x0000_t202" coordsize="21600,21600" o:spt="202" path="m,l,21600r21600,l21600,xe">
                <v:stroke joinstyle="miter"/>
                <v:path gradientshapeok="t" o:connecttype="rect"/>
              </v:shapetype>
              <v:shape id="Text Box 371" o:spid="_x0000_s1217" type="#_x0000_t202" style="position:absolute;left:251;top:128;width:2350;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Z1r4A&#10;AADcAAAADwAAAGRycy9kb3ducmV2LnhtbERPSwrCMBDdC94hjOBGNFVQpBrFD342LqoeYGjGtthM&#10;ShO1enqzEFw+3n++bEwpnlS7wrKC4SACQZxaXXCm4HrZ9acgnEfWWFomBW9ysFy0W3OMtX1xQs+z&#10;z0QIYRejgtz7KpbSpTkZdANbEQfuZmuDPsA6k7rGVwg3pRxF0UQaLDg05FjRJqf0fn4YBbRK7Od0&#10;d3uTrLeb/a1g6smDUt1Os5qB8NT4v/jnPmoFo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bGda+AAAA3AAAAA8AAAAAAAAAAAAAAAAAmAIAAGRycy9kb3ducmV2&#10;LnhtbFBLBQYAAAAABAAEAPUAAACDAwAAAAA=&#10;" filled="f" stroked="f">
                <v:textbox inset="0,0,0,0">
                  <w:txbxContent>
                    <w:p w:rsidR="00356BC7" w:rsidRPr="00F81955" w:rsidRDefault="00356BC7" w:rsidP="008D6ACD">
                      <w:pPr>
                        <w:pStyle w:val="NoSpacing"/>
                        <w:jc w:val="center"/>
                        <w:rPr>
                          <w:rFonts w:eastAsia="Calibri" w:hAnsi="Calibri" w:cs="Calibri"/>
                          <w:b/>
                          <w:color w:val="FFFFFF" w:themeColor="background1"/>
                        </w:rPr>
                      </w:pPr>
                      <w:bookmarkStart w:id="6" w:name="Crafton_Hills_College_(p._25)"/>
                      <w:bookmarkEnd w:id="6"/>
                      <w:r w:rsidRPr="00F81955">
                        <w:rPr>
                          <w:b/>
                          <w:color w:val="FFFFFF" w:themeColor="background1"/>
                        </w:rPr>
                        <w:t>SBCCD</w:t>
                      </w:r>
                    </w:p>
                    <w:p w:rsidR="00356BC7" w:rsidRPr="00F81955" w:rsidRDefault="00356BC7" w:rsidP="008D6ACD">
                      <w:pPr>
                        <w:pStyle w:val="NoSpacing"/>
                        <w:jc w:val="center"/>
                        <w:rPr>
                          <w:rFonts w:eastAsia="Calibri" w:hAnsi="Calibri" w:cs="Calibri"/>
                          <w:color w:val="FFFFFF" w:themeColor="background1"/>
                        </w:rPr>
                      </w:pPr>
                      <w:r w:rsidRPr="00F81955">
                        <w:rPr>
                          <w:color w:val="FFFFFF" w:themeColor="background1"/>
                          <w:spacing w:val="-1"/>
                        </w:rPr>
                        <w:t>Board</w:t>
                      </w:r>
                      <w:r w:rsidRPr="00F81955">
                        <w:rPr>
                          <w:color w:val="FFFFFF" w:themeColor="background1"/>
                        </w:rPr>
                        <w:t xml:space="preserve"> </w:t>
                      </w:r>
                      <w:r w:rsidRPr="00F81955">
                        <w:rPr>
                          <w:color w:val="FFFFFF" w:themeColor="background1"/>
                          <w:spacing w:val="-1"/>
                        </w:rPr>
                        <w:t>of</w:t>
                      </w:r>
                      <w:r w:rsidRPr="00F81955">
                        <w:rPr>
                          <w:color w:val="FFFFFF" w:themeColor="background1"/>
                        </w:rPr>
                        <w:t xml:space="preserve"> </w:t>
                      </w:r>
                      <w:r w:rsidRPr="00F81955">
                        <w:rPr>
                          <w:color w:val="FFFFFF" w:themeColor="background1"/>
                          <w:spacing w:val="-1"/>
                        </w:rPr>
                        <w:t>Trustees</w:t>
                      </w:r>
                    </w:p>
                  </w:txbxContent>
                </v:textbox>
              </v:shape>
              <v:shape id="Text Box 372" o:spid="_x0000_s1218" type="#_x0000_t202" style="position:absolute;left:3601;top:4427;width:3105;height: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k18YA&#10;AADcAAAADwAAAGRycy9kb3ducmV2LnhtbESPQWvCQBSE74L/YXmF3uomQkWjm1AF2x4KYhTPj+wz&#10;Sbv7NmRXTfvru4WCx2FmvmFWxWCNuFLvW8cK0kkCgrhyuuVawfGwfZqD8AFZo3FMCr7JQ5GPRyvM&#10;tLvxnq5lqEWEsM9QQRNCl0npq4Ys+onriKN3dr3FEGVfS93jLcKtkdMkmUmLLceFBjvaNFR9lRer&#10;4FSuL657+9gli3T2+bMpzfBqtko9PgwvSxCBhnAP/7fftYLpcw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nk18YAAADcAAAADwAAAAAAAAAAAAAAAACYAgAAZHJz&#10;L2Rvd25yZXYueG1sUEsFBgAAAAAEAAQA9QAAAIsDAAAAAA==&#10;" fillcolor="#d6e3bc" stroked="f">
                <v:textbox inset="0,0,0,0">
                  <w:txbxContent>
                    <w:p w:rsidR="00356BC7" w:rsidRPr="004C67FF" w:rsidRDefault="00356BC7" w:rsidP="008D6ACD">
                      <w:pPr>
                        <w:pStyle w:val="NoSpacing"/>
                        <w:jc w:val="center"/>
                        <w:rPr>
                          <w:rFonts w:eastAsia="Calibri" w:hAnsi="Calibri" w:cs="Calibri"/>
                          <w:b/>
                        </w:rPr>
                      </w:pPr>
                      <w:r w:rsidRPr="004C67FF">
                        <w:rPr>
                          <w:b/>
                        </w:rPr>
                        <w:t>Administrative</w:t>
                      </w:r>
                      <w:r w:rsidRPr="004C67FF">
                        <w:rPr>
                          <w:b/>
                          <w:spacing w:val="-18"/>
                        </w:rPr>
                        <w:t xml:space="preserve"> </w:t>
                      </w:r>
                      <w:r w:rsidRPr="004C67FF">
                        <w:rPr>
                          <w:b/>
                        </w:rPr>
                        <w:t>Services</w:t>
                      </w:r>
                    </w:p>
                    <w:p w:rsidR="00356BC7" w:rsidRPr="004C67FF" w:rsidRDefault="00356BC7" w:rsidP="008D6ACD">
                      <w:pPr>
                        <w:pStyle w:val="NoSpacing"/>
                        <w:jc w:val="center"/>
                        <w:rPr>
                          <w:rFonts w:eastAsia="Calibri" w:hAnsi="Calibri" w:cs="Calibri"/>
                        </w:rPr>
                      </w:pPr>
                      <w:r w:rsidRPr="004C67FF">
                        <w:rPr>
                          <w:i/>
                          <w:color w:val="205867"/>
                        </w:rPr>
                        <w:t>Mike</w:t>
                      </w:r>
                      <w:r w:rsidRPr="004C67FF">
                        <w:rPr>
                          <w:i/>
                          <w:color w:val="205867"/>
                          <w:spacing w:val="-5"/>
                        </w:rPr>
                        <w:t xml:space="preserve"> </w:t>
                      </w:r>
                      <w:r w:rsidRPr="004C67FF">
                        <w:rPr>
                          <w:i/>
                          <w:color w:val="205867"/>
                        </w:rPr>
                        <w:t>Strong,</w:t>
                      </w:r>
                      <w:r w:rsidRPr="004C67FF">
                        <w:rPr>
                          <w:i/>
                          <w:color w:val="205867"/>
                          <w:spacing w:val="-4"/>
                        </w:rPr>
                        <w:t xml:space="preserve"> </w:t>
                      </w:r>
                      <w:r w:rsidRPr="004C67FF">
                        <w:rPr>
                          <w:i/>
                          <w:color w:val="205867"/>
                        </w:rPr>
                        <w:t>Vice</w:t>
                      </w:r>
                      <w:r w:rsidRPr="004C67FF">
                        <w:rPr>
                          <w:i/>
                          <w:color w:val="205867"/>
                          <w:spacing w:val="-2"/>
                        </w:rPr>
                        <w:t xml:space="preserve"> </w:t>
                      </w:r>
                      <w:r w:rsidRPr="004C67FF">
                        <w:rPr>
                          <w:i/>
                          <w:color w:val="205867"/>
                        </w:rPr>
                        <w:t>President</w:t>
                      </w:r>
                    </w:p>
                  </w:txbxContent>
                </v:textbox>
              </v:shape>
              <v:shape id="Text Box 373" o:spid="_x0000_s1219" type="#_x0000_t202" style="position:absolute;left:251;top:1748;width:2350;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iOsQA&#10;AADcAAAADwAAAGRycy9kb3ducmV2LnhtbESPzYrCQBCE7wu+w9CCl0UnG3CR6ET8Qd3LHqI+QJNp&#10;k5BMT8jMavTpnQXBY1FVX1GLZW8acaXOVZYVfE0iEMS51RUXCs6n3XgGwnlkjY1lUnAnB8t08LHA&#10;RNsbZ3Q9+kIECLsEFZTet4mULi/JoJvYljh4F9sZ9EF2hdQd3gLcNDKOom9psOKwUGJLm5Ly+vhn&#10;FNAqs4/f2u1Ntt5u9peK6VMelBoN+9UchKfev8Ov9o9WEE9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IjrEAAAA3AAAAA8AAAAAAAAAAAAAAAAAmAIAAGRycy9k&#10;b3ducmV2LnhtbFBLBQYAAAAABAAEAPUAAACJAwAAAAA=&#10;" filled="f" stroked="f">
                <v:textbox inset="0,0,0,0">
                  <w:txbxContent>
                    <w:p w:rsidR="00356BC7" w:rsidRPr="00F81955" w:rsidRDefault="00356BC7" w:rsidP="008D6ACD">
                      <w:pPr>
                        <w:pStyle w:val="NoSpacing"/>
                        <w:jc w:val="center"/>
                        <w:rPr>
                          <w:rFonts w:eastAsia="Calibri" w:cs="Calibri"/>
                          <w:b/>
                        </w:rPr>
                      </w:pPr>
                      <w:r w:rsidRPr="00F81955">
                        <w:rPr>
                          <w:b/>
                        </w:rPr>
                        <w:t>Chancellor</w:t>
                      </w:r>
                    </w:p>
                    <w:p w:rsidR="00356BC7" w:rsidRPr="00F81955" w:rsidRDefault="00356BC7" w:rsidP="008D6ACD">
                      <w:pPr>
                        <w:pStyle w:val="NoSpacing"/>
                        <w:jc w:val="center"/>
                        <w:rPr>
                          <w:rFonts w:eastAsia="Calibri" w:cs="Calibri"/>
                        </w:rPr>
                      </w:pPr>
                      <w:r w:rsidRPr="00F81955">
                        <w:rPr>
                          <w:i/>
                          <w:color w:val="205767"/>
                        </w:rPr>
                        <w:t>Bruce Baron</w:t>
                      </w:r>
                    </w:p>
                  </w:txbxContent>
                </v:textbox>
              </v:shape>
              <v:shape id="Text Box 374" o:spid="_x0000_s1220" type="#_x0000_t202" style="position:absolute;left:3602;top:945;width:2997;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HocMA&#10;AADcAAAADwAAAGRycy9kb3ducmV2LnhtbESPzarCMBSE9xd8h3AEN6Kpi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mHocMAAADcAAAADwAAAAAAAAAAAAAAAACYAgAAZHJzL2Rv&#10;d25yZXYueG1sUEsFBgAAAAAEAAQA9QAAAIgDAAAAAA==&#10;" filled="f" stroked="f">
                <v:textbox inset="0,0,0,0">
                  <w:txbxContent>
                    <w:p w:rsidR="00356BC7" w:rsidRPr="00F81955" w:rsidRDefault="00356BC7" w:rsidP="008D6ACD">
                      <w:pPr>
                        <w:pStyle w:val="NoSpacing"/>
                        <w:jc w:val="center"/>
                        <w:rPr>
                          <w:rFonts w:eastAsia="Calibri" w:hAnsi="Calibri" w:cs="Calibri"/>
                          <w:b/>
                        </w:rPr>
                      </w:pPr>
                      <w:r w:rsidRPr="00F81955">
                        <w:rPr>
                          <w:b/>
                        </w:rPr>
                        <w:t>Instruction</w:t>
                      </w:r>
                    </w:p>
                    <w:p w:rsidR="00356BC7" w:rsidRDefault="00356BC7" w:rsidP="008D6ACD">
                      <w:pPr>
                        <w:pStyle w:val="NoSpacing"/>
                        <w:jc w:val="center"/>
                        <w:rPr>
                          <w:i/>
                          <w:color w:val="205867"/>
                          <w:spacing w:val="-3"/>
                        </w:rPr>
                      </w:pPr>
                      <w:r w:rsidRPr="00F81955">
                        <w:rPr>
                          <w:i/>
                          <w:color w:val="205867"/>
                          <w:spacing w:val="-1"/>
                        </w:rPr>
                        <w:t>Dr.</w:t>
                      </w:r>
                      <w:r w:rsidRPr="00F81955">
                        <w:rPr>
                          <w:i/>
                          <w:color w:val="205867"/>
                          <w:spacing w:val="-3"/>
                        </w:rPr>
                        <w:t xml:space="preserve"> </w:t>
                      </w:r>
                      <w:r w:rsidRPr="00F81955">
                        <w:rPr>
                          <w:i/>
                          <w:color w:val="205867"/>
                          <w:spacing w:val="-1"/>
                        </w:rPr>
                        <w:t>Bryan</w:t>
                      </w:r>
                      <w:r w:rsidRPr="00F81955">
                        <w:rPr>
                          <w:i/>
                          <w:color w:val="205867"/>
                          <w:spacing w:val="-3"/>
                        </w:rPr>
                        <w:t xml:space="preserve"> </w:t>
                      </w:r>
                      <w:r w:rsidRPr="00F81955">
                        <w:rPr>
                          <w:i/>
                          <w:color w:val="205867"/>
                          <w:spacing w:val="-1"/>
                        </w:rPr>
                        <w:t>Reece,</w:t>
                      </w:r>
                      <w:r w:rsidRPr="00F81955">
                        <w:rPr>
                          <w:i/>
                          <w:color w:val="205867"/>
                          <w:spacing w:val="-3"/>
                        </w:rPr>
                        <w:t xml:space="preserve"> </w:t>
                      </w:r>
                    </w:p>
                    <w:p w:rsidR="00356BC7" w:rsidRPr="00F81955" w:rsidRDefault="00356BC7" w:rsidP="008D6ACD">
                      <w:pPr>
                        <w:pStyle w:val="NoSpacing"/>
                        <w:jc w:val="center"/>
                        <w:rPr>
                          <w:rFonts w:eastAsia="Calibri" w:hAnsi="Calibri" w:cs="Calibri"/>
                        </w:rPr>
                      </w:pPr>
                      <w:r w:rsidRPr="00F81955">
                        <w:rPr>
                          <w:i/>
                          <w:color w:val="205867"/>
                          <w:spacing w:val="-1"/>
                        </w:rPr>
                        <w:t>Vice</w:t>
                      </w:r>
                      <w:r w:rsidRPr="00F81955">
                        <w:rPr>
                          <w:i/>
                          <w:color w:val="205867"/>
                          <w:spacing w:val="-3"/>
                        </w:rPr>
                        <w:t xml:space="preserve"> </w:t>
                      </w:r>
                      <w:r w:rsidRPr="00F81955">
                        <w:rPr>
                          <w:i/>
                          <w:color w:val="205867"/>
                          <w:spacing w:val="-1"/>
                        </w:rPr>
                        <w:t>President</w:t>
                      </w:r>
                    </w:p>
                  </w:txbxContent>
                </v:textbox>
              </v:shape>
              <v:shape id="Text Box 375" o:spid="_x0000_s1221" type="#_x0000_t202" style="position:absolute;left:7324;top:402;width:3218;height:1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rsidR="00356BC7" w:rsidRDefault="00356BC7" w:rsidP="008D6ACD">
                      <w:pPr>
                        <w:pStyle w:val="NoSpacing"/>
                        <w:numPr>
                          <w:ilvl w:val="0"/>
                          <w:numId w:val="56"/>
                        </w:numPr>
                        <w:tabs>
                          <w:tab w:val="clear" w:pos="720"/>
                        </w:tabs>
                        <w:ind w:left="180" w:hanging="180"/>
                      </w:pPr>
                      <w:r w:rsidRPr="004C67FF">
                        <w:t>Arts &amp; Sciences</w:t>
                      </w:r>
                    </w:p>
                    <w:p w:rsidR="00356BC7" w:rsidRDefault="00356BC7" w:rsidP="008D6ACD">
                      <w:pPr>
                        <w:pStyle w:val="NoSpacing"/>
                        <w:numPr>
                          <w:ilvl w:val="0"/>
                          <w:numId w:val="56"/>
                        </w:numPr>
                        <w:tabs>
                          <w:tab w:val="clear" w:pos="720"/>
                        </w:tabs>
                        <w:ind w:left="180" w:hanging="180"/>
                      </w:pPr>
                      <w:r w:rsidRPr="004C67FF">
                        <w:t>Career Education &amp; Human</w:t>
                      </w:r>
                      <w:r>
                        <w:t xml:space="preserve"> </w:t>
                      </w:r>
                      <w:r w:rsidRPr="004C67FF">
                        <w:t>Development</w:t>
                      </w:r>
                    </w:p>
                    <w:p w:rsidR="00356BC7" w:rsidRPr="004C67FF" w:rsidRDefault="00356BC7" w:rsidP="008D6ACD">
                      <w:pPr>
                        <w:pStyle w:val="NoSpacing"/>
                        <w:numPr>
                          <w:ilvl w:val="0"/>
                          <w:numId w:val="56"/>
                        </w:numPr>
                        <w:tabs>
                          <w:tab w:val="clear" w:pos="720"/>
                        </w:tabs>
                        <w:ind w:left="180" w:hanging="180"/>
                      </w:pPr>
                      <w:r w:rsidRPr="004C67FF">
                        <w:t>Math, English, Reading, &amp; Instructional Support</w:t>
                      </w:r>
                    </w:p>
                  </w:txbxContent>
                </v:textbox>
              </v:shape>
              <v:shape id="Text Box 376" o:spid="_x0000_s1222" type="#_x0000_t202" style="position:absolute;left:3601;top:2630;width:3101;height: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6TsQA&#10;AADcAAAADwAAAGRycy9kb3ducmV2LnhtbESPQWvCQBSE70L/w/IKvYjZGLBIzCpqaeylh0R/wCP7&#10;TILZtyG71bS/3i0IHoeZ+YbJNqPpxJUG11pWMI9iEMSV1S3XCk7Hz9kShPPIGjvLpOCXHGzWL5MM&#10;U21vXNC19LUIEHYpKmi871MpXdWQQRfZnjh4ZzsY9EEOtdQD3gLcdDKJ43dpsOWw0GBP+4aqS/lj&#10;FNC2sH/fF5ebYvexz88t01QelHp7HbcrEJ5G/ww/2l9aQbJY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uk7EAAAA3AAAAA8AAAAAAAAAAAAAAAAAmAIAAGRycy9k&#10;b3ducmV2LnhtbFBLBQYAAAAABAAEAPUAAACJAwAAAAA=&#10;" filled="f" stroked="f">
                <v:textbox inset="0,0,0,0">
                  <w:txbxContent>
                    <w:p w:rsidR="00356BC7" w:rsidRPr="00F81955" w:rsidRDefault="00356BC7" w:rsidP="008D6ACD">
                      <w:pPr>
                        <w:pStyle w:val="NoSpacing"/>
                        <w:jc w:val="center"/>
                        <w:rPr>
                          <w:rFonts w:eastAsia="Calibri" w:hAnsi="Calibri" w:cs="Calibri"/>
                          <w:b/>
                        </w:rPr>
                      </w:pPr>
                      <w:r w:rsidRPr="00F81955">
                        <w:rPr>
                          <w:b/>
                        </w:rPr>
                        <w:t>Student</w:t>
                      </w:r>
                      <w:r w:rsidRPr="00F81955">
                        <w:rPr>
                          <w:b/>
                          <w:spacing w:val="-8"/>
                        </w:rPr>
                        <w:t xml:space="preserve"> </w:t>
                      </w:r>
                      <w:r w:rsidRPr="00F81955">
                        <w:rPr>
                          <w:b/>
                        </w:rPr>
                        <w:t>Services</w:t>
                      </w:r>
                    </w:p>
                    <w:p w:rsidR="00356BC7" w:rsidRPr="00F81955" w:rsidRDefault="00356BC7" w:rsidP="008D6ACD">
                      <w:pPr>
                        <w:pStyle w:val="NoSpacing"/>
                        <w:jc w:val="center"/>
                        <w:rPr>
                          <w:rFonts w:eastAsia="Calibri" w:hAnsi="Calibri" w:cs="Calibri"/>
                          <w:i/>
                          <w:color w:val="205867"/>
                          <w:spacing w:val="-1"/>
                        </w:rPr>
                      </w:pPr>
                      <w:r w:rsidRPr="00F81955">
                        <w:rPr>
                          <w:rFonts w:eastAsia="Calibri" w:hAnsi="Calibri" w:cs="Calibri"/>
                          <w:i/>
                          <w:color w:val="205867"/>
                          <w:spacing w:val="-1"/>
                        </w:rPr>
                        <w:t>Dr.</w:t>
                      </w:r>
                      <w:r w:rsidRPr="00F81955">
                        <w:rPr>
                          <w:rFonts w:eastAsia="Calibri" w:hAnsi="Calibri" w:cs="Calibri"/>
                          <w:i/>
                          <w:color w:val="205867"/>
                          <w:spacing w:val="-3"/>
                        </w:rPr>
                        <w:t xml:space="preserve"> </w:t>
                      </w:r>
                      <w:r w:rsidRPr="00F81955">
                        <w:rPr>
                          <w:rFonts w:eastAsia="Calibri" w:hAnsi="Calibri" w:cs="Calibri"/>
                          <w:i/>
                          <w:color w:val="205867"/>
                          <w:spacing w:val="-1"/>
                        </w:rPr>
                        <w:t>Rebeccah</w:t>
                      </w:r>
                      <w:r w:rsidRPr="00F81955">
                        <w:rPr>
                          <w:rFonts w:eastAsia="Calibri" w:hAnsi="Calibri" w:cs="Calibri"/>
                          <w:i/>
                          <w:color w:val="205867"/>
                          <w:spacing w:val="-2"/>
                        </w:rPr>
                        <w:t xml:space="preserve"> </w:t>
                      </w:r>
                      <w:r w:rsidRPr="00F81955">
                        <w:rPr>
                          <w:rFonts w:eastAsia="Calibri" w:hAnsi="Calibri" w:cs="Calibri"/>
                          <w:i/>
                          <w:color w:val="205867"/>
                          <w:spacing w:val="-1"/>
                        </w:rPr>
                        <w:t>Warren‐Marlatt,</w:t>
                      </w:r>
                    </w:p>
                    <w:p w:rsidR="00356BC7" w:rsidRPr="00F81955" w:rsidRDefault="00356BC7" w:rsidP="008D6ACD">
                      <w:pPr>
                        <w:pStyle w:val="NoSpacing"/>
                        <w:jc w:val="center"/>
                        <w:rPr>
                          <w:rFonts w:eastAsia="Calibri" w:hAnsi="Calibri" w:cs="Calibri"/>
                        </w:rPr>
                      </w:pPr>
                      <w:r w:rsidRPr="00F81955">
                        <w:rPr>
                          <w:rFonts w:eastAsia="Calibri" w:hAnsi="Calibri" w:cs="Calibri"/>
                          <w:i/>
                          <w:color w:val="205867"/>
                          <w:spacing w:val="-1"/>
                        </w:rPr>
                        <w:t>Vice</w:t>
                      </w:r>
                      <w:r w:rsidRPr="00F81955">
                        <w:rPr>
                          <w:rFonts w:eastAsia="Calibri" w:hAnsi="Calibri" w:cs="Calibri"/>
                          <w:i/>
                          <w:color w:val="205867"/>
                          <w:spacing w:val="-2"/>
                        </w:rPr>
                        <w:t xml:space="preserve"> </w:t>
                      </w:r>
                      <w:r w:rsidRPr="00F81955">
                        <w:rPr>
                          <w:rFonts w:eastAsia="Calibri" w:hAnsi="Calibri" w:cs="Calibri"/>
                          <w:i/>
                          <w:color w:val="205867"/>
                          <w:spacing w:val="-1"/>
                        </w:rPr>
                        <w:t>President</w:t>
                      </w:r>
                    </w:p>
                  </w:txbxContent>
                </v:textbox>
              </v:shape>
              <v:shape id="Text Box 377" o:spid="_x0000_s1223" type="#_x0000_t202" style="position:absolute;left:7324;top:2378;width:3218;height:1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OcQA&#10;AADcAAAADwAAAGRycy9kb3ducmV2LnhtbESPQWvCQBSE74X+h+UVeilmY0CRmFXU0uilh0R/wCP7&#10;TILZtyG71bS/3hWEHoeZ+YbJ1qPpxJUG11pWMI1iEMSV1S3XCk7Hr8kChPPIGjvLpOCXHKxXry8Z&#10;ptreuKBr6WsRIOxSVNB436dSuqohgy6yPXHwznYw6IMcaqkHvAW46WQSx3NpsOWw0GBPu4aqS/lj&#10;FNCmsH/fF5ebYvu5y88t04fcK/X+Nm6WIDyN/j/8bB+0gmQ2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DnEAAAA3AAAAA8AAAAAAAAAAAAAAAAAmAIAAGRycy9k&#10;b3ducmV2LnhtbFBLBQYAAAAABAAEAPUAAACJAwAAAAA=&#10;" filled="f" stroked="f">
                <v:textbox inset="0,0,0,0">
                  <w:txbxContent>
                    <w:p w:rsidR="00356BC7" w:rsidRPr="000772D2" w:rsidRDefault="00356BC7" w:rsidP="008D6ACD">
                      <w:pPr>
                        <w:pStyle w:val="NoSpacing"/>
                        <w:numPr>
                          <w:ilvl w:val="0"/>
                          <w:numId w:val="57"/>
                        </w:numPr>
                        <w:tabs>
                          <w:tab w:val="clear" w:pos="720"/>
                          <w:tab w:val="num" w:pos="180"/>
                        </w:tabs>
                        <w:ind w:left="180" w:hanging="180"/>
                        <w:rPr>
                          <w:rFonts w:eastAsia="Calibri" w:hAnsi="Calibri" w:cs="Calibri"/>
                        </w:rPr>
                      </w:pPr>
                      <w:r w:rsidRPr="000772D2">
                        <w:t>Counseling</w:t>
                      </w:r>
                      <w:r w:rsidRPr="000772D2">
                        <w:rPr>
                          <w:spacing w:val="-9"/>
                        </w:rPr>
                        <w:t xml:space="preserve"> </w:t>
                      </w:r>
                      <w:r w:rsidRPr="000772D2">
                        <w:t>&amp;</w:t>
                      </w:r>
                      <w:r w:rsidRPr="000772D2">
                        <w:rPr>
                          <w:spacing w:val="-9"/>
                        </w:rPr>
                        <w:t xml:space="preserve"> </w:t>
                      </w:r>
                      <w:r w:rsidRPr="000772D2">
                        <w:t>Matriculation</w:t>
                      </w:r>
                    </w:p>
                    <w:p w:rsidR="00356BC7" w:rsidRPr="000772D2" w:rsidRDefault="00356BC7" w:rsidP="008D6ACD">
                      <w:pPr>
                        <w:pStyle w:val="NoSpacing"/>
                        <w:numPr>
                          <w:ilvl w:val="0"/>
                          <w:numId w:val="57"/>
                        </w:numPr>
                        <w:tabs>
                          <w:tab w:val="clear" w:pos="720"/>
                          <w:tab w:val="num" w:pos="180"/>
                        </w:tabs>
                        <w:ind w:left="180" w:hanging="180"/>
                        <w:rPr>
                          <w:rFonts w:eastAsia="Calibri" w:hAnsi="Calibri" w:cs="Calibri"/>
                        </w:rPr>
                      </w:pPr>
                      <w:r w:rsidRPr="000772D2">
                        <w:t>Student</w:t>
                      </w:r>
                      <w:r w:rsidRPr="000772D2">
                        <w:rPr>
                          <w:spacing w:val="-7"/>
                        </w:rPr>
                        <w:t xml:space="preserve"> </w:t>
                      </w:r>
                      <w:r w:rsidRPr="000772D2">
                        <w:rPr>
                          <w:spacing w:val="-1"/>
                        </w:rPr>
                        <w:t>Services</w:t>
                      </w:r>
                      <w:r w:rsidRPr="000772D2">
                        <w:rPr>
                          <w:spacing w:val="-4"/>
                        </w:rPr>
                        <w:t xml:space="preserve"> </w:t>
                      </w:r>
                      <w:r w:rsidRPr="000772D2">
                        <w:t>&amp;</w:t>
                      </w:r>
                      <w:r w:rsidRPr="000772D2">
                        <w:rPr>
                          <w:spacing w:val="-7"/>
                        </w:rPr>
                        <w:t xml:space="preserve"> </w:t>
                      </w:r>
                      <w:r w:rsidRPr="000772D2">
                        <w:t>Student</w:t>
                      </w:r>
                      <w:r w:rsidRPr="000772D2">
                        <w:rPr>
                          <w:spacing w:val="-6"/>
                        </w:rPr>
                        <w:t xml:space="preserve"> </w:t>
                      </w:r>
                      <w:r w:rsidRPr="000772D2">
                        <w:rPr>
                          <w:spacing w:val="-1"/>
                        </w:rPr>
                        <w:t>Development</w:t>
                      </w:r>
                    </w:p>
                  </w:txbxContent>
                </v:textbox>
              </v:shape>
              <v:shape id="Text Box 378" o:spid="_x0000_s1224" type="#_x0000_t202" style="position:absolute;left:251;top:3314;width:2200;height: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BosMA&#10;AADcAAAADwAAAGRycy9kb3ducmV2LnhtbESPzarCMBSE9xd8h3AEN6Kpgj9Uo/iDejcuqj7AoTm2&#10;xeakNFGrT2+EC3c5zMw3zHzZmFI8qHaFZQWDfgSCOLW64EzB5bzrTUE4j6yxtEwKXuRguWj9zDHW&#10;9skJPU4+EwHCLkYFufdVLKVLczLo+rYiDt7V1gZ9kHUmdY3PADelHEbRWBosOCzkWNEmp/R2uhsF&#10;tErs+3hze5Ost5v9tWDqyoNSnXazmoHw1Pj/8F/7VysYji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KBosMAAADcAAAADwAAAAAAAAAAAAAAAACYAgAAZHJzL2Rv&#10;d25yZXYueG1sUEsFBgAAAAAEAAQA9QAAAIgDAAAAAA==&#10;" filled="f" stroked="f">
                <v:textbox inset="0,0,0,0">
                  <w:txbxContent>
                    <w:p w:rsidR="00356BC7" w:rsidRPr="00F81955" w:rsidRDefault="00356BC7" w:rsidP="008D6ACD">
                      <w:pPr>
                        <w:pStyle w:val="NoSpacing"/>
                        <w:jc w:val="center"/>
                        <w:rPr>
                          <w:rFonts w:eastAsia="Calibri" w:cs="Calibri"/>
                          <w:b/>
                        </w:rPr>
                      </w:pPr>
                      <w:r w:rsidRPr="00F81955">
                        <w:rPr>
                          <w:b/>
                        </w:rPr>
                        <w:t>President</w:t>
                      </w:r>
                    </w:p>
                    <w:p w:rsidR="00356BC7" w:rsidRPr="00F81955" w:rsidRDefault="00356BC7" w:rsidP="008D6ACD">
                      <w:pPr>
                        <w:pStyle w:val="NoSpacing"/>
                        <w:jc w:val="center"/>
                        <w:rPr>
                          <w:rFonts w:eastAsia="Calibri" w:cs="Calibri"/>
                        </w:rPr>
                      </w:pPr>
                      <w:r w:rsidRPr="00F81955">
                        <w:rPr>
                          <w:i/>
                          <w:color w:val="205867"/>
                        </w:rPr>
                        <w:t>Dr. Cheryl Marshall</w:t>
                      </w:r>
                    </w:p>
                  </w:txbxContent>
                </v:textbox>
              </v:shape>
              <v:shape id="Text Box 379" o:spid="_x0000_s1225" type="#_x0000_t202" style="position:absolute;left:7439;top:3872;width:3209;height:2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V0L4A&#10;AADcAAAADwAAAGRycy9kb3ducmV2LnhtbERPSwrCMBDdC94hjOBGNFVQpBrFD342LqoeYGjGtthM&#10;ShO1enqzEFw+3n++bEwpnlS7wrKC4SACQZxaXXCm4HrZ9acgnEfWWFomBW9ysFy0W3OMtX1xQs+z&#10;z0QIYRejgtz7KpbSpTkZdANbEQfuZmuDPsA6k7rGVwg3pRxF0UQaLDg05FjRJqf0fn4YBbRK7Od0&#10;d3uTrLeb/a1g6smDUt1Os5qB8NT4v/jnPmoFo3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tFdC+AAAA3AAAAA8AAAAAAAAAAAAAAAAAmAIAAGRycy9kb3ducmV2&#10;LnhtbFBLBQYAAAAABAAEAPUAAACDAwAAAAA=&#10;" filled="f" stroked="f">
                <v:textbox inset="0,0,0,0">
                  <w:txbxContent>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pacing w:val="-1"/>
                          <w:sz w:val="20"/>
                          <w:szCs w:val="20"/>
                        </w:rPr>
                        <w:t>Facilities,</w:t>
                      </w:r>
                      <w:r w:rsidRPr="000772D2">
                        <w:rPr>
                          <w:spacing w:val="-9"/>
                          <w:sz w:val="20"/>
                          <w:szCs w:val="20"/>
                        </w:rPr>
                        <w:t xml:space="preserve"> </w:t>
                      </w:r>
                      <w:r w:rsidRPr="000772D2">
                        <w:rPr>
                          <w:sz w:val="20"/>
                          <w:szCs w:val="20"/>
                        </w:rPr>
                        <w:t>Maintenance</w:t>
                      </w:r>
                      <w:r w:rsidRPr="000772D2">
                        <w:rPr>
                          <w:spacing w:val="-8"/>
                          <w:sz w:val="20"/>
                          <w:szCs w:val="20"/>
                        </w:rPr>
                        <w:t xml:space="preserve"> </w:t>
                      </w:r>
                      <w:r w:rsidRPr="000772D2">
                        <w:rPr>
                          <w:sz w:val="20"/>
                          <w:szCs w:val="20"/>
                        </w:rPr>
                        <w:t>&amp;</w:t>
                      </w:r>
                      <w:r w:rsidRPr="000772D2">
                        <w:rPr>
                          <w:spacing w:val="-7"/>
                          <w:sz w:val="20"/>
                          <w:szCs w:val="20"/>
                        </w:rPr>
                        <w:t xml:space="preserve"> </w:t>
                      </w:r>
                      <w:r w:rsidRPr="000772D2">
                        <w:rPr>
                          <w:sz w:val="20"/>
                          <w:szCs w:val="20"/>
                        </w:rPr>
                        <w:t>Operations,</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z w:val="20"/>
                          <w:szCs w:val="20"/>
                        </w:rPr>
                        <w:t>Custodial,</w:t>
                      </w:r>
                      <w:r w:rsidRPr="000772D2">
                        <w:rPr>
                          <w:spacing w:val="20"/>
                          <w:sz w:val="20"/>
                          <w:szCs w:val="20"/>
                        </w:rPr>
                        <w:t xml:space="preserve"> </w:t>
                      </w:r>
                      <w:r w:rsidRPr="000772D2">
                        <w:rPr>
                          <w:sz w:val="20"/>
                          <w:szCs w:val="20"/>
                        </w:rPr>
                        <w:t>Construction</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z w:val="20"/>
                          <w:szCs w:val="20"/>
                        </w:rPr>
                        <w:t>Campus</w:t>
                      </w:r>
                      <w:r w:rsidRPr="000772D2">
                        <w:rPr>
                          <w:spacing w:val="-4"/>
                          <w:sz w:val="20"/>
                          <w:szCs w:val="20"/>
                        </w:rPr>
                        <w:t xml:space="preserve"> </w:t>
                      </w:r>
                      <w:r w:rsidRPr="000772D2">
                        <w:rPr>
                          <w:sz w:val="20"/>
                          <w:szCs w:val="20"/>
                        </w:rPr>
                        <w:t>Business</w:t>
                      </w:r>
                      <w:r w:rsidRPr="000772D2">
                        <w:rPr>
                          <w:spacing w:val="-5"/>
                          <w:sz w:val="20"/>
                          <w:szCs w:val="20"/>
                        </w:rPr>
                        <w:t xml:space="preserve"> </w:t>
                      </w:r>
                      <w:r w:rsidRPr="000772D2">
                        <w:rPr>
                          <w:sz w:val="20"/>
                          <w:szCs w:val="20"/>
                        </w:rPr>
                        <w:t>Office,</w:t>
                      </w:r>
                      <w:r w:rsidRPr="000772D2">
                        <w:rPr>
                          <w:spacing w:val="-6"/>
                          <w:sz w:val="20"/>
                          <w:szCs w:val="20"/>
                        </w:rPr>
                        <w:t xml:space="preserve"> </w:t>
                      </w:r>
                      <w:r w:rsidRPr="000772D2">
                        <w:rPr>
                          <w:spacing w:val="-1"/>
                          <w:sz w:val="20"/>
                          <w:szCs w:val="20"/>
                        </w:rPr>
                        <w:t>Facilities</w:t>
                      </w:r>
                      <w:r w:rsidRPr="000772D2">
                        <w:rPr>
                          <w:spacing w:val="-5"/>
                          <w:sz w:val="20"/>
                          <w:szCs w:val="20"/>
                        </w:rPr>
                        <w:t xml:space="preserve"> </w:t>
                      </w:r>
                      <w:r w:rsidRPr="000772D2">
                        <w:rPr>
                          <w:spacing w:val="-1"/>
                          <w:sz w:val="20"/>
                          <w:szCs w:val="20"/>
                        </w:rPr>
                        <w:t>Use</w:t>
                      </w:r>
                      <w:r w:rsidRPr="000772D2">
                        <w:rPr>
                          <w:spacing w:val="-4"/>
                          <w:sz w:val="20"/>
                          <w:szCs w:val="20"/>
                        </w:rPr>
                        <w:t xml:space="preserve"> </w:t>
                      </w:r>
                      <w:r w:rsidRPr="000772D2">
                        <w:rPr>
                          <w:sz w:val="20"/>
                          <w:szCs w:val="20"/>
                        </w:rPr>
                        <w:t>,</w:t>
                      </w:r>
                      <w:r w:rsidRPr="000772D2">
                        <w:rPr>
                          <w:spacing w:val="21"/>
                          <w:w w:val="99"/>
                          <w:sz w:val="20"/>
                          <w:szCs w:val="20"/>
                        </w:rPr>
                        <w:t xml:space="preserve"> </w:t>
                      </w:r>
                      <w:r w:rsidRPr="000772D2">
                        <w:rPr>
                          <w:spacing w:val="-1"/>
                          <w:sz w:val="20"/>
                          <w:szCs w:val="20"/>
                        </w:rPr>
                        <w:t>Communications</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pacing w:val="-1"/>
                          <w:sz w:val="20"/>
                          <w:szCs w:val="20"/>
                        </w:rPr>
                        <w:t>Food</w:t>
                      </w:r>
                      <w:r w:rsidRPr="000772D2">
                        <w:rPr>
                          <w:spacing w:val="-7"/>
                          <w:sz w:val="20"/>
                          <w:szCs w:val="20"/>
                        </w:rPr>
                        <w:t xml:space="preserve"> </w:t>
                      </w:r>
                      <w:r w:rsidRPr="000772D2">
                        <w:rPr>
                          <w:spacing w:val="-1"/>
                          <w:sz w:val="20"/>
                          <w:szCs w:val="20"/>
                        </w:rPr>
                        <w:t>Service</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z w:val="20"/>
                          <w:szCs w:val="20"/>
                        </w:rPr>
                        <w:t>Technology</w:t>
                      </w:r>
                      <w:r w:rsidRPr="000772D2">
                        <w:rPr>
                          <w:spacing w:val="-13"/>
                          <w:sz w:val="20"/>
                          <w:szCs w:val="20"/>
                        </w:rPr>
                        <w:t xml:space="preserve"> </w:t>
                      </w:r>
                      <w:r w:rsidRPr="000772D2">
                        <w:rPr>
                          <w:spacing w:val="-1"/>
                          <w:sz w:val="20"/>
                          <w:szCs w:val="20"/>
                        </w:rPr>
                        <w:t>Services</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z w:val="20"/>
                          <w:szCs w:val="20"/>
                        </w:rPr>
                        <w:t>Aquatics</w:t>
                      </w:r>
                    </w:p>
                    <w:p w:rsidR="00356BC7" w:rsidRPr="000772D2" w:rsidRDefault="00356BC7" w:rsidP="008D6ACD">
                      <w:pPr>
                        <w:pStyle w:val="NoSpacing"/>
                        <w:numPr>
                          <w:ilvl w:val="0"/>
                          <w:numId w:val="58"/>
                        </w:numPr>
                        <w:tabs>
                          <w:tab w:val="clear" w:pos="720"/>
                        </w:tabs>
                        <w:ind w:left="180" w:hanging="180"/>
                        <w:rPr>
                          <w:rFonts w:eastAsia="Calibri" w:hAnsi="Calibri" w:cs="Calibri"/>
                          <w:sz w:val="20"/>
                          <w:szCs w:val="20"/>
                        </w:rPr>
                      </w:pPr>
                      <w:r w:rsidRPr="000772D2">
                        <w:rPr>
                          <w:spacing w:val="-1"/>
                          <w:sz w:val="20"/>
                          <w:szCs w:val="20"/>
                        </w:rPr>
                        <w:t>Bookstore</w:t>
                      </w:r>
                    </w:p>
                  </w:txbxContent>
                </v:textbox>
              </v:shape>
              <v:shape id="Text Box 380" o:spid="_x0000_s1226" type="#_x0000_t202" style="position:absolute;left:3601;top:6142;width:3393;height:1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wS8MA&#10;AADcAAAADwAAAGRycy9kb3ducmV2LnhtbESPzarCMBSE9xd8h3AEN6KpgqLVKP6g3o2Lqg9waI5t&#10;sTkpTdTq0xvhwl0OM/MNM182phQPql1hWcGgH4EgTq0uOFNwOe96ExDOI2ssLZOCFzlYLlo/c4y1&#10;fXJCj5PPRICwi1FB7n0VS+nSnAy6vq2Ig3e1tUEfZJ1JXeMzwE0ph1E0lgYLDgs5VrTJKb2d7kYB&#10;rRL7Pt7c3iTr7WZ/LZi68qBUp92sZiA8Nf4//Nf+1QqGo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wS8MAAADcAAAADwAAAAAAAAAAAAAAAACYAgAAZHJzL2Rv&#10;d25yZXYueG1sUEsFBgAAAAAEAAQA9QAAAIgDAAAAAA==&#10;" filled="f" stroked="f">
                <v:textbox inset="0,0,0,0">
                  <w:txbxContent>
                    <w:p w:rsidR="00356BC7" w:rsidRDefault="00356BC7" w:rsidP="008D6ACD">
                      <w:pPr>
                        <w:pStyle w:val="NoSpacing"/>
                        <w:numPr>
                          <w:ilvl w:val="0"/>
                          <w:numId w:val="55"/>
                        </w:numPr>
                        <w:tabs>
                          <w:tab w:val="left" w:pos="180"/>
                        </w:tabs>
                        <w:ind w:left="180" w:hanging="180"/>
                        <w:rPr>
                          <w:rFonts w:eastAsia="Calibri" w:hAnsi="Calibri" w:cs="Calibri"/>
                          <w:szCs w:val="18"/>
                        </w:rPr>
                      </w:pPr>
                      <w:r>
                        <w:rPr>
                          <w:spacing w:val="-1"/>
                        </w:rPr>
                        <w:t>Title</w:t>
                      </w:r>
                      <w:r>
                        <w:rPr>
                          <w:spacing w:val="-3"/>
                        </w:rPr>
                        <w:t xml:space="preserve"> </w:t>
                      </w:r>
                      <w:r>
                        <w:t>V</w:t>
                      </w:r>
                      <w:r>
                        <w:rPr>
                          <w:spacing w:val="-2"/>
                        </w:rPr>
                        <w:t xml:space="preserve"> </w:t>
                      </w:r>
                      <w:r>
                        <w:t>Grant</w:t>
                      </w:r>
                    </w:p>
                    <w:p w:rsidR="00356BC7" w:rsidRDefault="00356BC7" w:rsidP="008D6ACD">
                      <w:pPr>
                        <w:pStyle w:val="NoSpacing"/>
                        <w:numPr>
                          <w:ilvl w:val="0"/>
                          <w:numId w:val="55"/>
                        </w:numPr>
                        <w:tabs>
                          <w:tab w:val="left" w:pos="180"/>
                        </w:tabs>
                        <w:ind w:left="180" w:hanging="180"/>
                        <w:rPr>
                          <w:rFonts w:eastAsia="Calibri" w:hAnsi="Calibri" w:cs="Calibri"/>
                          <w:szCs w:val="18"/>
                        </w:rPr>
                      </w:pPr>
                      <w:r w:rsidRPr="00F81955">
                        <w:rPr>
                          <w:spacing w:val="-1"/>
                        </w:rPr>
                        <w:t>Marketing</w:t>
                      </w:r>
                      <w:r w:rsidRPr="00F81955">
                        <w:rPr>
                          <w:spacing w:val="-4"/>
                        </w:rPr>
                        <w:t xml:space="preserve"> </w:t>
                      </w:r>
                      <w:r>
                        <w:t>&amp;</w:t>
                      </w:r>
                      <w:r w:rsidRPr="00F81955">
                        <w:rPr>
                          <w:spacing w:val="-4"/>
                        </w:rPr>
                        <w:t xml:space="preserve"> </w:t>
                      </w:r>
                      <w:r w:rsidRPr="00F81955">
                        <w:rPr>
                          <w:spacing w:val="-1"/>
                        </w:rPr>
                        <w:t>Public</w:t>
                      </w:r>
                      <w:r w:rsidRPr="00F81955">
                        <w:rPr>
                          <w:spacing w:val="-3"/>
                        </w:rPr>
                        <w:t xml:space="preserve"> </w:t>
                      </w:r>
                      <w:r w:rsidRPr="00F81955">
                        <w:rPr>
                          <w:spacing w:val="-1"/>
                        </w:rPr>
                        <w:t>Relations</w:t>
                      </w:r>
                    </w:p>
                    <w:p w:rsidR="00356BC7" w:rsidRDefault="00356BC7" w:rsidP="008D6ACD">
                      <w:pPr>
                        <w:pStyle w:val="NoSpacing"/>
                        <w:numPr>
                          <w:ilvl w:val="0"/>
                          <w:numId w:val="55"/>
                        </w:numPr>
                        <w:tabs>
                          <w:tab w:val="left" w:pos="180"/>
                        </w:tabs>
                        <w:ind w:left="180" w:hanging="180"/>
                        <w:rPr>
                          <w:rFonts w:eastAsia="Calibri" w:hAnsi="Calibri" w:cs="Calibri"/>
                          <w:szCs w:val="18"/>
                        </w:rPr>
                      </w:pPr>
                      <w:r w:rsidRPr="00F81955">
                        <w:rPr>
                          <w:spacing w:val="-1"/>
                        </w:rPr>
                        <w:t>Institutional</w:t>
                      </w:r>
                      <w:r w:rsidRPr="00F81955">
                        <w:rPr>
                          <w:spacing w:val="-9"/>
                        </w:rPr>
                        <w:t xml:space="preserve"> </w:t>
                      </w:r>
                      <w:r>
                        <w:t>Effectiveness,</w:t>
                      </w:r>
                      <w:r w:rsidRPr="00F81955">
                        <w:rPr>
                          <w:spacing w:val="-10"/>
                        </w:rPr>
                        <w:t xml:space="preserve"> </w:t>
                      </w:r>
                      <w:r w:rsidRPr="00F81955">
                        <w:rPr>
                          <w:spacing w:val="-1"/>
                        </w:rPr>
                        <w:t>Research</w:t>
                      </w:r>
                      <w:r>
                        <w:rPr>
                          <w:rFonts w:eastAsia="Calibri" w:hAnsi="Calibri" w:cs="Calibri"/>
                          <w:szCs w:val="18"/>
                        </w:rPr>
                        <w:t xml:space="preserve"> </w:t>
                      </w:r>
                      <w:r>
                        <w:t>&amp;</w:t>
                      </w:r>
                      <w:r w:rsidRPr="00F81955">
                        <w:rPr>
                          <w:spacing w:val="-1"/>
                        </w:rPr>
                        <w:t xml:space="preserve"> </w:t>
                      </w:r>
                      <w:r>
                        <w:t>Planning</w:t>
                      </w:r>
                    </w:p>
                    <w:p w:rsidR="00356BC7" w:rsidRPr="00F81955" w:rsidRDefault="00356BC7" w:rsidP="008D6ACD">
                      <w:pPr>
                        <w:pStyle w:val="NoSpacing"/>
                        <w:numPr>
                          <w:ilvl w:val="0"/>
                          <w:numId w:val="55"/>
                        </w:numPr>
                        <w:tabs>
                          <w:tab w:val="left" w:pos="180"/>
                        </w:tabs>
                        <w:ind w:left="180" w:hanging="180"/>
                        <w:rPr>
                          <w:rFonts w:eastAsia="Calibri" w:hAnsi="Calibri" w:cs="Calibri"/>
                          <w:szCs w:val="18"/>
                        </w:rPr>
                      </w:pPr>
                      <w:r w:rsidRPr="00F81955">
                        <w:rPr>
                          <w:spacing w:val="-1"/>
                        </w:rPr>
                        <w:t>Resource</w:t>
                      </w:r>
                      <w:r w:rsidRPr="00F81955">
                        <w:rPr>
                          <w:spacing w:val="-6"/>
                        </w:rPr>
                        <w:t xml:space="preserve"> </w:t>
                      </w:r>
                      <w:r>
                        <w:t>Development</w:t>
                      </w:r>
                      <w:r w:rsidRPr="00F81955">
                        <w:rPr>
                          <w:spacing w:val="-8"/>
                        </w:rPr>
                        <w:t xml:space="preserve"> </w:t>
                      </w:r>
                      <w:r>
                        <w:t>&amp;</w:t>
                      </w:r>
                      <w:r w:rsidRPr="00F81955">
                        <w:rPr>
                          <w:spacing w:val="-7"/>
                        </w:rPr>
                        <w:t xml:space="preserve"> </w:t>
                      </w:r>
                      <w:r>
                        <w:t>Grants</w:t>
                      </w:r>
                    </w:p>
                  </w:txbxContent>
                </v:textbox>
              </v:shape>
            </v:group>
            <w10:wrap type="none"/>
            <w10:anchorlock/>
          </v:group>
        </w:pict>
      </w:r>
      <w:r w:rsidR="008D6ACD">
        <w:br w:type="page"/>
      </w:r>
    </w:p>
    <w:p w:rsidR="00630634" w:rsidRDefault="00630634">
      <w:pPr>
        <w:rPr>
          <w:rFonts w:ascii="Arial" w:eastAsia="Arial" w:hAnsi="Arial" w:cs="Arial"/>
          <w:b/>
        </w:rPr>
      </w:pPr>
    </w:p>
    <w:p w:rsidR="00AD1889" w:rsidRDefault="00136838">
      <w:r>
        <w:rPr>
          <w:rFonts w:ascii="Arial" w:eastAsia="Arial" w:hAnsi="Arial" w:cs="Arial"/>
          <w:b/>
        </w:rPr>
        <w:t>Space Utilization</w:t>
      </w:r>
      <w:r>
        <w:rPr>
          <w:rFonts w:ascii="Arial" w:eastAsia="Arial" w:hAnsi="Arial" w:cs="Arial"/>
          <w:color w:val="FF0000"/>
        </w:rPr>
        <w:t xml:space="preserve"> </w:t>
      </w:r>
    </w:p>
    <w:p w:rsidR="00AD1889" w:rsidRDefault="00721F6D">
      <w:r>
        <w:rPr>
          <w:rFonts w:ascii="Arial" w:eastAsia="Arial" w:hAnsi="Arial" w:cs="Arial"/>
          <w:color w:val="FF0000"/>
        </w:rPr>
        <w:t>Propose to include “Key Findings” section of 2014 Space Utilization Study.  See Space Utilization Report for details.</w:t>
      </w:r>
      <w:r w:rsidR="00136838">
        <w:rPr>
          <w:rFonts w:ascii="Arial" w:eastAsia="Arial" w:hAnsi="Arial" w:cs="Arial"/>
          <w:color w:val="FF0000"/>
        </w:rPr>
        <w:t xml:space="preserve"> </w:t>
      </w:r>
    </w:p>
    <w:p w:rsidR="00AD1889" w:rsidRDefault="00136838">
      <w:r>
        <w:br w:type="page"/>
      </w:r>
    </w:p>
    <w:p w:rsidR="00AD1889" w:rsidRDefault="00136838" w:rsidP="00A816B4">
      <w:pPr>
        <w:pStyle w:val="Heading1"/>
        <w:numPr>
          <w:ilvl w:val="0"/>
          <w:numId w:val="2"/>
        </w:numPr>
      </w:pPr>
      <w:bookmarkStart w:id="7" w:name="h.3dy6vkm" w:colFirst="0" w:colLast="0"/>
      <w:bookmarkEnd w:id="7"/>
      <w:r>
        <w:lastRenderedPageBreak/>
        <w:t>Growth of a Comprehensive Community College</w:t>
      </w:r>
    </w:p>
    <w:p w:rsidR="00AD1889" w:rsidRPr="00793F65" w:rsidRDefault="00136838" w:rsidP="00793F65">
      <w:pPr>
        <w:spacing w:after="0"/>
        <w:rPr>
          <w:rFonts w:asciiTheme="minorHAnsi" w:hAnsiTheme="minorHAnsi"/>
          <w:i/>
          <w:color w:val="0070C0"/>
        </w:rPr>
      </w:pPr>
      <w:r w:rsidRPr="00793F65">
        <w:rPr>
          <w:rFonts w:asciiTheme="minorHAnsi" w:hAnsiTheme="minorHAnsi"/>
          <w:i/>
          <w:color w:val="0070C0"/>
        </w:rPr>
        <w:t>This section provides the narrative and graphical/tabular representations that illustrate and project growth for the college’s instructional programs, services, space needs. The discussion ties together the plan document by concluding:</w:t>
      </w:r>
    </w:p>
    <w:p w:rsidR="00AD1889" w:rsidRPr="00793F65" w:rsidRDefault="00136838" w:rsidP="00A816B4">
      <w:pPr>
        <w:numPr>
          <w:ilvl w:val="0"/>
          <w:numId w:val="3"/>
        </w:numPr>
        <w:spacing w:after="0"/>
        <w:ind w:hanging="360"/>
        <w:contextualSpacing/>
        <w:rPr>
          <w:rFonts w:asciiTheme="minorHAnsi" w:hAnsiTheme="minorHAnsi"/>
          <w:i/>
          <w:color w:val="0070C0"/>
        </w:rPr>
      </w:pPr>
      <w:r w:rsidRPr="00793F65">
        <w:rPr>
          <w:rFonts w:asciiTheme="minorHAnsi" w:hAnsiTheme="minorHAnsi"/>
          <w:i/>
          <w:color w:val="0070C0"/>
        </w:rPr>
        <w:t>Where we are now (Chapter 5),</w:t>
      </w:r>
    </w:p>
    <w:p w:rsidR="00AD1889" w:rsidRPr="00793F65" w:rsidRDefault="00136838" w:rsidP="00A816B4">
      <w:pPr>
        <w:numPr>
          <w:ilvl w:val="0"/>
          <w:numId w:val="3"/>
        </w:numPr>
        <w:spacing w:after="0"/>
        <w:ind w:hanging="360"/>
        <w:contextualSpacing/>
        <w:rPr>
          <w:rFonts w:asciiTheme="minorHAnsi" w:hAnsiTheme="minorHAnsi"/>
          <w:i/>
          <w:color w:val="0070C0"/>
        </w:rPr>
      </w:pPr>
      <w:r w:rsidRPr="00793F65">
        <w:rPr>
          <w:rFonts w:asciiTheme="minorHAnsi" w:hAnsiTheme="minorHAnsi"/>
          <w:i/>
          <w:color w:val="0070C0"/>
        </w:rPr>
        <w:t>Where we need to be (Chapter 4), and</w:t>
      </w:r>
    </w:p>
    <w:p w:rsidR="00AD1889" w:rsidRPr="00793F65" w:rsidRDefault="00136838" w:rsidP="00A816B4">
      <w:pPr>
        <w:numPr>
          <w:ilvl w:val="0"/>
          <w:numId w:val="3"/>
        </w:numPr>
        <w:ind w:hanging="360"/>
        <w:contextualSpacing/>
        <w:rPr>
          <w:rFonts w:asciiTheme="minorHAnsi" w:hAnsiTheme="minorHAnsi"/>
          <w:i/>
          <w:color w:val="0070C0"/>
        </w:rPr>
      </w:pPr>
      <w:r w:rsidRPr="00793F65">
        <w:rPr>
          <w:rFonts w:asciiTheme="minorHAnsi" w:hAnsiTheme="minorHAnsi"/>
          <w:i/>
          <w:color w:val="0070C0"/>
        </w:rPr>
        <w:t>How we get there (Chapter 2).</w:t>
      </w:r>
    </w:p>
    <w:p w:rsidR="00356BC7" w:rsidRDefault="00356BC7">
      <w:pPr>
        <w:rPr>
          <w:rFonts w:ascii="Arial" w:eastAsia="Arial" w:hAnsi="Arial" w:cs="Arial"/>
          <w:b/>
        </w:rPr>
      </w:pPr>
    </w:p>
    <w:p w:rsidR="00793F65" w:rsidRDefault="00356BC7">
      <w:pPr>
        <w:rPr>
          <w:rFonts w:ascii="Arial" w:eastAsia="Arial" w:hAnsi="Arial" w:cs="Arial"/>
          <w:b/>
        </w:rPr>
      </w:pPr>
      <w:r>
        <w:rPr>
          <w:rFonts w:ascii="Arial" w:eastAsia="Arial" w:hAnsi="Arial" w:cs="Arial"/>
          <w:b/>
        </w:rPr>
        <w:t>Introduction</w:t>
      </w:r>
    </w:p>
    <w:p w:rsidR="00356BC7" w:rsidRPr="00356BC7" w:rsidRDefault="00356BC7" w:rsidP="00356BC7">
      <w:pPr>
        <w:rPr>
          <w:rFonts w:asciiTheme="minorHAnsi" w:eastAsia="Arial" w:hAnsiTheme="minorHAnsi" w:cs="Arial"/>
          <w:color w:val="auto"/>
        </w:rPr>
      </w:pPr>
      <w:r w:rsidRPr="00356BC7">
        <w:rPr>
          <w:rFonts w:asciiTheme="minorHAnsi" w:eastAsia="Arial" w:hAnsiTheme="minorHAnsi" w:cs="Arial"/>
          <w:color w:val="auto"/>
        </w:rPr>
        <w:t xml:space="preserve">The themes identified and discussed in </w:t>
      </w:r>
      <w:r>
        <w:rPr>
          <w:rFonts w:asciiTheme="minorHAnsi" w:eastAsia="Arial" w:hAnsiTheme="minorHAnsi" w:cs="Arial"/>
          <w:color w:val="auto"/>
        </w:rPr>
        <w:t>the section</w:t>
      </w:r>
      <w:r w:rsidRPr="00356BC7">
        <w:rPr>
          <w:rFonts w:asciiTheme="minorHAnsi" w:eastAsia="Arial" w:hAnsiTheme="minorHAnsi" w:cs="Arial"/>
          <w:color w:val="auto"/>
        </w:rPr>
        <w:t xml:space="preserve"> were drawn from a number of sources: interviews with personnel at the College during spring semester 2016, review of college, and other relevant documents</w:t>
      </w:r>
      <w:r>
        <w:rPr>
          <w:rFonts w:asciiTheme="minorHAnsi" w:eastAsia="Arial" w:hAnsiTheme="minorHAnsi" w:cs="Arial"/>
          <w:color w:val="auto"/>
        </w:rPr>
        <w:t>,</w:t>
      </w:r>
      <w:r w:rsidRPr="00356BC7">
        <w:rPr>
          <w:rFonts w:asciiTheme="minorHAnsi" w:eastAsia="Arial" w:hAnsiTheme="minorHAnsi" w:cs="Arial"/>
          <w:color w:val="auto"/>
        </w:rPr>
        <w:t xml:space="preserve"> and discussion with </w:t>
      </w:r>
      <w:r>
        <w:rPr>
          <w:rFonts w:asciiTheme="minorHAnsi" w:eastAsia="Arial" w:hAnsiTheme="minorHAnsi" w:cs="Arial"/>
          <w:color w:val="auto"/>
        </w:rPr>
        <w:t>C</w:t>
      </w:r>
      <w:r w:rsidRPr="00356BC7">
        <w:rPr>
          <w:rFonts w:asciiTheme="minorHAnsi" w:eastAsia="Arial" w:hAnsiTheme="minorHAnsi" w:cs="Arial"/>
          <w:color w:val="auto"/>
        </w:rPr>
        <w:t>ollege committees. The Crafton Council, chaired by President Cheryl Marshall and the CHC Education Master Plan Committee were the primary consultation bodies for the Education Master Plan. The themes and actions related to them (identified by bullets) specify activities and conditions needed to realize the desired goals. The Major Strategies, Strategic Di</w:t>
      </w:r>
      <w:r>
        <w:rPr>
          <w:rFonts w:asciiTheme="minorHAnsi" w:eastAsia="Arial" w:hAnsiTheme="minorHAnsi" w:cs="Arial"/>
          <w:color w:val="auto"/>
        </w:rPr>
        <w:t>rections and Supporting Actions</w:t>
      </w:r>
      <w:r w:rsidRPr="00356BC7">
        <w:rPr>
          <w:rFonts w:asciiTheme="minorHAnsi" w:eastAsia="Arial" w:hAnsiTheme="minorHAnsi" w:cs="Arial"/>
          <w:color w:val="auto"/>
        </w:rPr>
        <w:t xml:space="preserve"> listed support the themes and are consistent with them.</w:t>
      </w:r>
    </w:p>
    <w:p w:rsidR="00AD1889" w:rsidRPr="00793F65" w:rsidRDefault="00136838">
      <w:pPr>
        <w:rPr>
          <w:rFonts w:asciiTheme="minorHAnsi" w:hAnsiTheme="minorHAnsi"/>
          <w:sz w:val="24"/>
        </w:rPr>
      </w:pPr>
      <w:r w:rsidRPr="00793F65">
        <w:rPr>
          <w:rFonts w:asciiTheme="minorHAnsi" w:eastAsia="Arial" w:hAnsiTheme="minorHAnsi" w:cs="Arial"/>
          <w:b/>
          <w:sz w:val="24"/>
        </w:rPr>
        <w:t>Major Themes</w:t>
      </w:r>
    </w:p>
    <w:p w:rsidR="00AD1889" w:rsidRDefault="00136838">
      <w:pPr>
        <w:rPr>
          <w:rFonts w:asciiTheme="minorHAnsi" w:eastAsia="Arial" w:hAnsiTheme="minorHAnsi" w:cs="Arial"/>
          <w:b/>
          <w:color w:val="00823B"/>
          <w:sz w:val="24"/>
        </w:rPr>
      </w:pPr>
      <w:r w:rsidRPr="00DD073F">
        <w:rPr>
          <w:rFonts w:asciiTheme="minorHAnsi" w:eastAsia="Arial" w:hAnsiTheme="minorHAnsi" w:cs="Arial"/>
          <w:b/>
          <w:color w:val="00823B"/>
          <w:sz w:val="24"/>
        </w:rPr>
        <w:t>Expansion of Existing Programs &amp; Development of New Programs</w:t>
      </w:r>
    </w:p>
    <w:p w:rsidR="00DD073F" w:rsidRPr="00DD073F" w:rsidRDefault="00DD073F" w:rsidP="00DD073F">
      <w:pPr>
        <w:rPr>
          <w:rFonts w:asciiTheme="minorHAnsi" w:eastAsia="Arial" w:hAnsiTheme="minorHAnsi" w:cs="Arial"/>
          <w:color w:val="auto"/>
          <w:sz w:val="24"/>
        </w:rPr>
      </w:pPr>
      <w:r w:rsidRPr="00DD073F">
        <w:rPr>
          <w:rFonts w:asciiTheme="minorHAnsi" w:eastAsia="Arial" w:hAnsiTheme="minorHAnsi" w:cs="Arial"/>
          <w:color w:val="auto"/>
          <w:sz w:val="24"/>
        </w:rPr>
        <w:t>The desire of the college community to expand the curriculum at CHC was prominent in discussions with faculty and administrators and in goals stated in program review documents during the development of the EMP. Enthusiasm for expanded and new programs comes from the awareness that the College has the capacity to grow and a need to better serve a community with</w:t>
      </w:r>
      <w:r w:rsidRPr="00DD073F">
        <w:rPr>
          <w:rFonts w:asciiTheme="minorHAnsi" w:eastAsia="Arial" w:hAnsiTheme="minorHAnsi" w:cs="Arial"/>
          <w:color w:val="auto"/>
          <w:sz w:val="24"/>
        </w:rPr>
        <w:t xml:space="preserve"> a low participation rate</w:t>
      </w:r>
      <w:r w:rsidRPr="00DD073F">
        <w:rPr>
          <w:rFonts w:asciiTheme="minorHAnsi" w:eastAsia="Arial" w:hAnsiTheme="minorHAnsi" w:cs="Arial"/>
          <w:color w:val="auto"/>
          <w:sz w:val="24"/>
        </w:rPr>
        <w:t xml:space="preserve"> compared to other areas in the state. More importantly, interviewees expressed the desire to serve their students more fully. </w:t>
      </w:r>
    </w:p>
    <w:p w:rsidR="00DD073F" w:rsidRPr="00DD073F" w:rsidRDefault="00DD073F" w:rsidP="00DD073F">
      <w:pPr>
        <w:rPr>
          <w:rFonts w:asciiTheme="minorHAnsi" w:eastAsia="Arial" w:hAnsiTheme="minorHAnsi" w:cs="Arial"/>
          <w:color w:val="auto"/>
          <w:sz w:val="24"/>
        </w:rPr>
      </w:pPr>
      <w:r>
        <w:rPr>
          <w:rFonts w:asciiTheme="minorHAnsi" w:eastAsia="Arial" w:hAnsiTheme="minorHAnsi" w:cs="Arial"/>
          <w:color w:val="auto"/>
          <w:sz w:val="24"/>
        </w:rPr>
        <w:t>E</w:t>
      </w:r>
      <w:r w:rsidRPr="00DD073F">
        <w:rPr>
          <w:rFonts w:asciiTheme="minorHAnsi" w:eastAsia="Arial" w:hAnsiTheme="minorHAnsi" w:cs="Arial"/>
          <w:color w:val="auto"/>
          <w:sz w:val="24"/>
        </w:rPr>
        <w:t>nrollment decline</w:t>
      </w:r>
      <w:r>
        <w:rPr>
          <w:rFonts w:asciiTheme="minorHAnsi" w:eastAsia="Arial" w:hAnsiTheme="minorHAnsi" w:cs="Arial"/>
          <w:color w:val="auto"/>
          <w:sz w:val="24"/>
        </w:rPr>
        <w:t xml:space="preserve"> and limited staffing</w:t>
      </w:r>
      <w:r w:rsidRPr="00DD073F">
        <w:rPr>
          <w:rFonts w:asciiTheme="minorHAnsi" w:eastAsia="Arial" w:hAnsiTheme="minorHAnsi" w:cs="Arial"/>
          <w:color w:val="auto"/>
          <w:sz w:val="24"/>
        </w:rPr>
        <w:t xml:space="preserve"> in recent years has been a problem for program expansion and development. As many as 11 programs are staffed by one </w:t>
      </w:r>
      <w:r>
        <w:rPr>
          <w:rFonts w:asciiTheme="minorHAnsi" w:eastAsia="Arial" w:hAnsiTheme="minorHAnsi" w:cs="Arial"/>
          <w:color w:val="auto"/>
          <w:sz w:val="24"/>
        </w:rPr>
        <w:t xml:space="preserve">full-time </w:t>
      </w:r>
      <w:r w:rsidRPr="00DD073F">
        <w:rPr>
          <w:rFonts w:asciiTheme="minorHAnsi" w:eastAsia="Arial" w:hAnsiTheme="minorHAnsi" w:cs="Arial"/>
          <w:color w:val="auto"/>
          <w:sz w:val="24"/>
        </w:rPr>
        <w:t>faculty member and supported by a varying population of adjunct faculty who are hired from term to term. Campus-wide, there are 68 full-time faculty and 201 adjuncts (Fall 2014). The empl</w:t>
      </w:r>
      <w:r>
        <w:rPr>
          <w:rFonts w:asciiTheme="minorHAnsi" w:eastAsia="Arial" w:hAnsiTheme="minorHAnsi" w:cs="Arial"/>
          <w:color w:val="auto"/>
          <w:sz w:val="24"/>
        </w:rPr>
        <w:t>oyment of large numbers of part-</w:t>
      </w:r>
      <w:r w:rsidRPr="00DD073F">
        <w:rPr>
          <w:rFonts w:asciiTheme="minorHAnsi" w:eastAsia="Arial" w:hAnsiTheme="minorHAnsi" w:cs="Arial"/>
          <w:color w:val="auto"/>
          <w:sz w:val="24"/>
        </w:rPr>
        <w:t>time faculty is common practice in California’s community colleges, and creates a system-wide challenge, but it is a problem that has greater impact at small colleges, such as CHC, a campus seeking to provide a comprehensive program of instruction and services. Under these circumstances, it is important that the programs currently offered are responsive to community needs and support the College’s need for growth.</w:t>
      </w:r>
    </w:p>
    <w:p w:rsidR="00DD073F" w:rsidRPr="00DD073F" w:rsidRDefault="00DD073F" w:rsidP="00DD073F">
      <w:pPr>
        <w:rPr>
          <w:rFonts w:asciiTheme="minorHAnsi" w:eastAsia="Arial" w:hAnsiTheme="minorHAnsi" w:cs="Arial"/>
          <w:color w:val="auto"/>
          <w:sz w:val="24"/>
        </w:rPr>
      </w:pPr>
      <w:r w:rsidRPr="00DD073F">
        <w:rPr>
          <w:rFonts w:asciiTheme="minorHAnsi" w:eastAsia="Arial" w:hAnsiTheme="minorHAnsi" w:cs="Arial"/>
          <w:color w:val="auto"/>
          <w:sz w:val="24"/>
        </w:rPr>
        <w:t>Enrollment growth is a primary objective of CHC in its desire to expand its academic offerings and services to students. Hard hit by the recession at the end</w:t>
      </w:r>
      <w:r>
        <w:rPr>
          <w:rFonts w:asciiTheme="minorHAnsi" w:eastAsia="Arial" w:hAnsiTheme="minorHAnsi" w:cs="Arial"/>
          <w:color w:val="auto"/>
          <w:sz w:val="24"/>
        </w:rPr>
        <w:t xml:space="preserve"> of the last decade, enrollment</w:t>
      </w:r>
      <w:r w:rsidRPr="00DD073F">
        <w:rPr>
          <w:rFonts w:asciiTheme="minorHAnsi" w:eastAsia="Arial" w:hAnsiTheme="minorHAnsi" w:cs="Arial"/>
          <w:color w:val="auto"/>
          <w:sz w:val="24"/>
        </w:rPr>
        <w:t xml:space="preserve"> dropped to 7,095 </w:t>
      </w:r>
      <w:r>
        <w:rPr>
          <w:rFonts w:asciiTheme="minorHAnsi" w:eastAsia="Arial" w:hAnsiTheme="minorHAnsi" w:cs="Arial"/>
          <w:color w:val="auto"/>
          <w:sz w:val="24"/>
        </w:rPr>
        <w:t xml:space="preserve">students </w:t>
      </w:r>
      <w:r w:rsidRPr="00DD073F">
        <w:rPr>
          <w:rFonts w:asciiTheme="minorHAnsi" w:eastAsia="Arial" w:hAnsiTheme="minorHAnsi" w:cs="Arial"/>
          <w:color w:val="auto"/>
          <w:sz w:val="24"/>
        </w:rPr>
        <w:t xml:space="preserve">by 2012-13. The slow economic recovery that followed the </w:t>
      </w:r>
      <w:r w:rsidRPr="00DD073F">
        <w:rPr>
          <w:rFonts w:asciiTheme="minorHAnsi" w:eastAsia="Arial" w:hAnsiTheme="minorHAnsi" w:cs="Arial"/>
          <w:color w:val="auto"/>
          <w:sz w:val="24"/>
        </w:rPr>
        <w:lastRenderedPageBreak/>
        <w:t xml:space="preserve">economic crisis continues to the present.  The </w:t>
      </w:r>
      <w:r>
        <w:rPr>
          <w:rFonts w:asciiTheme="minorHAnsi" w:eastAsia="Arial" w:hAnsiTheme="minorHAnsi" w:cs="Arial"/>
          <w:color w:val="auto"/>
          <w:sz w:val="24"/>
        </w:rPr>
        <w:t>College</w:t>
      </w:r>
      <w:r w:rsidRPr="00DD073F">
        <w:rPr>
          <w:rFonts w:asciiTheme="minorHAnsi" w:eastAsia="Arial" w:hAnsiTheme="minorHAnsi" w:cs="Arial"/>
          <w:color w:val="auto"/>
          <w:sz w:val="24"/>
        </w:rPr>
        <w:t xml:space="preserve"> 8,040 students</w:t>
      </w:r>
      <w:r>
        <w:rPr>
          <w:rFonts w:asciiTheme="minorHAnsi" w:eastAsia="Arial" w:hAnsiTheme="minorHAnsi" w:cs="Arial"/>
          <w:color w:val="auto"/>
          <w:sz w:val="24"/>
        </w:rPr>
        <w:t xml:space="preserve"> enrolled at the College</w:t>
      </w:r>
      <w:r w:rsidRPr="00DD073F">
        <w:rPr>
          <w:rFonts w:asciiTheme="minorHAnsi" w:eastAsia="Arial" w:hAnsiTheme="minorHAnsi" w:cs="Arial"/>
          <w:color w:val="auto"/>
          <w:sz w:val="24"/>
        </w:rPr>
        <w:t xml:space="preserve"> in 2014-15 is more than 1</w:t>
      </w:r>
      <w:r>
        <w:rPr>
          <w:rFonts w:asciiTheme="minorHAnsi" w:eastAsia="Arial" w:hAnsiTheme="minorHAnsi" w:cs="Arial"/>
          <w:color w:val="auto"/>
          <w:sz w:val="24"/>
        </w:rPr>
        <w:t>,</w:t>
      </w:r>
      <w:r w:rsidRPr="00DD073F">
        <w:rPr>
          <w:rFonts w:asciiTheme="minorHAnsi" w:eastAsia="Arial" w:hAnsiTheme="minorHAnsi" w:cs="Arial"/>
          <w:color w:val="auto"/>
          <w:sz w:val="24"/>
        </w:rPr>
        <w:t>500 students lower than the enrollment p</w:t>
      </w:r>
      <w:r>
        <w:rPr>
          <w:rFonts w:asciiTheme="minorHAnsi" w:eastAsia="Arial" w:hAnsiTheme="minorHAnsi" w:cs="Arial"/>
          <w:color w:val="auto"/>
          <w:sz w:val="24"/>
        </w:rPr>
        <w:t>eak of 2008-09.  With improved S</w:t>
      </w:r>
      <w:r w:rsidRPr="00DD073F">
        <w:rPr>
          <w:rFonts w:asciiTheme="minorHAnsi" w:eastAsia="Arial" w:hAnsiTheme="minorHAnsi" w:cs="Arial"/>
          <w:color w:val="auto"/>
          <w:sz w:val="24"/>
        </w:rPr>
        <w:t>tate funding currently, resources have grown, but the effect of cutting classes and limiting services as well the economic and social disruption in the region has harmed enrollment.</w:t>
      </w:r>
    </w:p>
    <w:p w:rsidR="00DD073F" w:rsidRPr="00DD073F" w:rsidRDefault="00DD073F" w:rsidP="00DD073F">
      <w:pPr>
        <w:rPr>
          <w:rFonts w:asciiTheme="minorHAnsi" w:eastAsia="Arial" w:hAnsiTheme="minorHAnsi" w:cs="Arial"/>
          <w:color w:val="auto"/>
          <w:sz w:val="24"/>
        </w:rPr>
      </w:pPr>
      <w:r w:rsidRPr="00DD073F">
        <w:rPr>
          <w:rFonts w:asciiTheme="minorHAnsi" w:eastAsia="Arial" w:hAnsiTheme="minorHAnsi" w:cs="Arial"/>
          <w:color w:val="auto"/>
          <w:sz w:val="24"/>
        </w:rPr>
        <w:t>The recent augmentations to district budgets from State funds awarded through competitive grant awards have been of benefit to CHC. A Hispanic-serving institution award, a Basic-Skills Grant and a STEM Grant, have been a benefit to targeted groups of students. Additional sources of funding, such as private gifts, partnerships and Foundation grants will be important in the future development of the college.</w:t>
      </w:r>
    </w:p>
    <w:p w:rsidR="00DD073F" w:rsidRPr="00DD073F" w:rsidRDefault="00DD073F" w:rsidP="00DD073F">
      <w:pPr>
        <w:rPr>
          <w:rFonts w:asciiTheme="minorHAnsi" w:eastAsia="Arial" w:hAnsiTheme="minorHAnsi" w:cs="Arial"/>
          <w:color w:val="auto"/>
          <w:sz w:val="24"/>
        </w:rPr>
      </w:pPr>
      <w:r w:rsidRPr="00DD073F">
        <w:rPr>
          <w:rFonts w:asciiTheme="minorHAnsi" w:eastAsia="Arial" w:hAnsiTheme="minorHAnsi" w:cs="Arial"/>
          <w:color w:val="auto"/>
          <w:sz w:val="24"/>
        </w:rPr>
        <w:t xml:space="preserve">Relief from regulatory constraints on community college effectiveness is a District and community college system matter, but it is an important issue for the success of individual campuses. Barriers that limit growth </w:t>
      </w:r>
      <w:proofErr w:type="gramStart"/>
      <w:r w:rsidRPr="00DD073F">
        <w:rPr>
          <w:rFonts w:asciiTheme="minorHAnsi" w:eastAsia="Arial" w:hAnsiTheme="minorHAnsi" w:cs="Arial"/>
          <w:color w:val="auto"/>
          <w:sz w:val="24"/>
        </w:rPr>
        <w:t>is</w:t>
      </w:r>
      <w:proofErr w:type="gramEnd"/>
      <w:r w:rsidRPr="00DD073F">
        <w:rPr>
          <w:rFonts w:asciiTheme="minorHAnsi" w:eastAsia="Arial" w:hAnsiTheme="minorHAnsi" w:cs="Arial"/>
          <w:color w:val="auto"/>
          <w:sz w:val="24"/>
        </w:rPr>
        <w:t xml:space="preserve"> one of a number of constraints on efficacy.</w:t>
      </w:r>
    </w:p>
    <w:p w:rsidR="00BF50A8" w:rsidRPr="00602C7F" w:rsidRDefault="00BF50A8" w:rsidP="00E30CA3">
      <w:pPr>
        <w:numPr>
          <w:ilvl w:val="0"/>
          <w:numId w:val="49"/>
        </w:numPr>
        <w:rPr>
          <w:rFonts w:asciiTheme="minorHAnsi" w:hAnsiTheme="minorHAnsi"/>
          <w:b/>
          <w:sz w:val="24"/>
        </w:rPr>
      </w:pPr>
      <w:r>
        <w:rPr>
          <w:rFonts w:asciiTheme="minorHAnsi" w:hAnsiTheme="minorHAnsi"/>
          <w:sz w:val="24"/>
        </w:rPr>
        <w:t>A necessary component of expansion and development of programs is growth in the college</w:t>
      </w:r>
      <w:r w:rsidRPr="00602C7F">
        <w:rPr>
          <w:rFonts w:asciiTheme="minorHAnsi" w:hAnsiTheme="minorHAnsi"/>
          <w:sz w:val="24"/>
        </w:rPr>
        <w:t>.</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 xml:space="preserve">We need to </w:t>
      </w:r>
      <w:r w:rsidR="00BF50A8">
        <w:rPr>
          <w:rFonts w:asciiTheme="minorHAnsi" w:hAnsiTheme="minorHAnsi"/>
          <w:sz w:val="24"/>
        </w:rPr>
        <w:t xml:space="preserve">address and mitigate regulatory barriers to </w:t>
      </w:r>
      <w:r w:rsidRPr="00602C7F">
        <w:rPr>
          <w:rFonts w:asciiTheme="minorHAnsi" w:hAnsiTheme="minorHAnsi"/>
          <w:sz w:val="24"/>
        </w:rPr>
        <w:t xml:space="preserve">grow faster than </w:t>
      </w:r>
      <w:r w:rsidR="00BB12C1">
        <w:rPr>
          <w:rFonts w:asciiTheme="minorHAnsi" w:hAnsiTheme="minorHAnsi"/>
          <w:sz w:val="24"/>
        </w:rPr>
        <w:t>California</w:t>
      </w:r>
      <w:r w:rsidRPr="00602C7F">
        <w:rPr>
          <w:rFonts w:asciiTheme="minorHAnsi" w:hAnsiTheme="minorHAnsi"/>
          <w:sz w:val="24"/>
        </w:rPr>
        <w:t xml:space="preserve"> is </w:t>
      </w:r>
      <w:r w:rsidRPr="00937314">
        <w:rPr>
          <w:rFonts w:asciiTheme="minorHAnsi" w:hAnsiTheme="minorHAnsi"/>
          <w:sz w:val="24"/>
        </w:rPr>
        <w:t>allowing</w:t>
      </w:r>
      <w:r w:rsidRPr="00602C7F">
        <w:rPr>
          <w:rFonts w:asciiTheme="minorHAnsi" w:hAnsiTheme="minorHAnsi"/>
          <w:sz w:val="24"/>
        </w:rPr>
        <w:t xml:space="preserve"> us.</w:t>
      </w:r>
    </w:p>
    <w:p w:rsidR="00602C7F" w:rsidRPr="00602C7F" w:rsidRDefault="00602C7F" w:rsidP="00E30CA3">
      <w:pPr>
        <w:numPr>
          <w:ilvl w:val="0"/>
          <w:numId w:val="49"/>
        </w:numPr>
        <w:rPr>
          <w:rFonts w:asciiTheme="minorHAnsi" w:hAnsiTheme="minorHAnsi"/>
          <w:b/>
          <w:sz w:val="24"/>
        </w:rPr>
      </w:pPr>
      <w:r>
        <w:rPr>
          <w:rFonts w:asciiTheme="minorHAnsi" w:hAnsiTheme="minorHAnsi"/>
          <w:sz w:val="24"/>
        </w:rPr>
        <w:t xml:space="preserve">Develop and advocate legislation that allows Crafton Hills to grow beyond California Community Chancellor’s Office </w:t>
      </w:r>
      <w:r w:rsidR="00FB6DA3">
        <w:rPr>
          <w:rFonts w:asciiTheme="minorHAnsi" w:hAnsiTheme="minorHAnsi"/>
          <w:sz w:val="24"/>
        </w:rPr>
        <w:t>state</w:t>
      </w:r>
      <w:r>
        <w:rPr>
          <w:rFonts w:asciiTheme="minorHAnsi" w:hAnsiTheme="minorHAnsi"/>
          <w:sz w:val="24"/>
        </w:rPr>
        <w:t>wide growth allowances.</w:t>
      </w:r>
    </w:p>
    <w:p w:rsidR="00BF50A8" w:rsidRPr="00602C7F" w:rsidRDefault="00BF50A8" w:rsidP="00E30CA3">
      <w:pPr>
        <w:numPr>
          <w:ilvl w:val="0"/>
          <w:numId w:val="49"/>
        </w:numPr>
        <w:rPr>
          <w:rFonts w:asciiTheme="minorHAnsi" w:hAnsiTheme="minorHAnsi"/>
          <w:b/>
          <w:sz w:val="24"/>
        </w:rPr>
      </w:pPr>
      <w:r>
        <w:rPr>
          <w:rFonts w:asciiTheme="minorHAnsi" w:hAnsiTheme="minorHAnsi"/>
          <w:sz w:val="24"/>
        </w:rPr>
        <w:t>Develop schedule and facility use to better utilize Fridays, weekends, and weeknight courses, increasing WSCH creation within current and projected instructional space.</w:t>
      </w:r>
    </w:p>
    <w:p w:rsidR="00BF50A8" w:rsidRPr="00602C7F" w:rsidRDefault="00BF50A8" w:rsidP="00E30CA3">
      <w:pPr>
        <w:numPr>
          <w:ilvl w:val="0"/>
          <w:numId w:val="49"/>
        </w:numPr>
        <w:rPr>
          <w:rFonts w:asciiTheme="minorHAnsi" w:hAnsiTheme="minorHAnsi"/>
          <w:b/>
          <w:sz w:val="24"/>
        </w:rPr>
      </w:pPr>
      <w:r>
        <w:rPr>
          <w:rFonts w:asciiTheme="minorHAnsi" w:hAnsiTheme="minorHAnsi"/>
          <w:sz w:val="24"/>
        </w:rPr>
        <w:t>Develop campus-based a</w:t>
      </w:r>
      <w:r w:rsidRPr="00602C7F">
        <w:rPr>
          <w:rFonts w:asciiTheme="minorHAnsi" w:hAnsiTheme="minorHAnsi"/>
          <w:sz w:val="24"/>
        </w:rPr>
        <w:t xml:space="preserve">ctivities, festivals, and events </w:t>
      </w:r>
      <w:r>
        <w:rPr>
          <w:rFonts w:asciiTheme="minorHAnsi" w:hAnsiTheme="minorHAnsi"/>
          <w:sz w:val="24"/>
        </w:rPr>
        <w:t>such as outdoor concerts to increase awareness of campus within the community and access to otherwise underserved populations.</w:t>
      </w:r>
    </w:p>
    <w:p w:rsidR="00602C7F" w:rsidRPr="00602C7F" w:rsidRDefault="00602C7F" w:rsidP="00E30CA3">
      <w:pPr>
        <w:numPr>
          <w:ilvl w:val="0"/>
          <w:numId w:val="49"/>
        </w:numPr>
        <w:rPr>
          <w:rFonts w:asciiTheme="minorHAnsi" w:hAnsiTheme="minorHAnsi"/>
          <w:b/>
          <w:sz w:val="24"/>
        </w:rPr>
      </w:pPr>
      <w:r>
        <w:rPr>
          <w:rFonts w:asciiTheme="minorHAnsi" w:hAnsiTheme="minorHAnsi"/>
          <w:sz w:val="24"/>
        </w:rPr>
        <w:t>Use workforce data and program data to inform</w:t>
      </w:r>
      <w:r w:rsidRPr="00602C7F">
        <w:rPr>
          <w:rFonts w:asciiTheme="minorHAnsi" w:hAnsiTheme="minorHAnsi"/>
          <w:sz w:val="24"/>
        </w:rPr>
        <w:t xml:space="preserve"> wh</w:t>
      </w:r>
      <w:r>
        <w:rPr>
          <w:rFonts w:asciiTheme="minorHAnsi" w:hAnsiTheme="minorHAnsi"/>
          <w:sz w:val="24"/>
        </w:rPr>
        <w:t>ich</w:t>
      </w:r>
      <w:r w:rsidRPr="00602C7F">
        <w:rPr>
          <w:rFonts w:asciiTheme="minorHAnsi" w:hAnsiTheme="minorHAnsi"/>
          <w:sz w:val="24"/>
        </w:rPr>
        <w:t xml:space="preserve"> courses</w:t>
      </w:r>
      <w:r>
        <w:rPr>
          <w:rFonts w:asciiTheme="minorHAnsi" w:hAnsiTheme="minorHAnsi"/>
          <w:sz w:val="24"/>
        </w:rPr>
        <w:t xml:space="preserve"> and </w:t>
      </w:r>
      <w:r w:rsidRPr="00602C7F">
        <w:rPr>
          <w:rFonts w:asciiTheme="minorHAnsi" w:hAnsiTheme="minorHAnsi"/>
          <w:sz w:val="24"/>
        </w:rPr>
        <w:t xml:space="preserve">programs </w:t>
      </w:r>
      <w:r>
        <w:rPr>
          <w:rFonts w:asciiTheme="minorHAnsi" w:hAnsiTheme="minorHAnsi"/>
          <w:sz w:val="24"/>
        </w:rPr>
        <w:t xml:space="preserve">need to be expanded, updated, realigned, or </w:t>
      </w:r>
      <w:r w:rsidRPr="00602C7F">
        <w:rPr>
          <w:rFonts w:asciiTheme="minorHAnsi" w:hAnsiTheme="minorHAnsi"/>
          <w:sz w:val="24"/>
        </w:rPr>
        <w:t>are no longer needed</w:t>
      </w:r>
      <w:r>
        <w:rPr>
          <w:rFonts w:asciiTheme="minorHAnsi" w:hAnsiTheme="minorHAnsi"/>
          <w:sz w:val="24"/>
        </w:rPr>
        <w:t>.</w:t>
      </w:r>
    </w:p>
    <w:p w:rsidR="00602C7F" w:rsidRPr="00602C7F" w:rsidRDefault="00BF50A8" w:rsidP="00E30CA3">
      <w:pPr>
        <w:numPr>
          <w:ilvl w:val="0"/>
          <w:numId w:val="49"/>
        </w:numPr>
        <w:rPr>
          <w:rFonts w:asciiTheme="minorHAnsi" w:hAnsiTheme="minorHAnsi"/>
          <w:b/>
          <w:sz w:val="24"/>
        </w:rPr>
      </w:pPr>
      <w:r w:rsidRPr="00602C7F">
        <w:rPr>
          <w:rFonts w:asciiTheme="minorHAnsi" w:hAnsiTheme="minorHAnsi"/>
          <w:sz w:val="24"/>
        </w:rPr>
        <w:t>Development or expansion of new or existing programs that prepare students for emerging job sectors</w:t>
      </w:r>
      <w:r>
        <w:rPr>
          <w:rFonts w:asciiTheme="minorHAnsi" w:hAnsiTheme="minorHAnsi"/>
          <w:sz w:val="24"/>
        </w:rPr>
        <w:t xml:space="preserve">, such as </w:t>
      </w:r>
      <w:r w:rsidR="00602C7F">
        <w:rPr>
          <w:rFonts w:asciiTheme="minorHAnsi" w:hAnsiTheme="minorHAnsi"/>
          <w:sz w:val="24"/>
        </w:rPr>
        <w:t>a d</w:t>
      </w:r>
      <w:r w:rsidR="00602C7F" w:rsidRPr="00602C7F">
        <w:rPr>
          <w:rFonts w:asciiTheme="minorHAnsi" w:hAnsiTheme="minorHAnsi"/>
          <w:sz w:val="24"/>
        </w:rPr>
        <w:t>ig</w:t>
      </w:r>
      <w:r>
        <w:rPr>
          <w:rFonts w:asciiTheme="minorHAnsi" w:hAnsiTheme="minorHAnsi"/>
          <w:sz w:val="24"/>
        </w:rPr>
        <w:t>ital communications certificate, logistics certificate, etc.</w:t>
      </w:r>
    </w:p>
    <w:p w:rsidR="00AD1889" w:rsidRDefault="00136838">
      <w:pPr>
        <w:rPr>
          <w:rFonts w:asciiTheme="minorHAnsi" w:eastAsia="Arial" w:hAnsiTheme="minorHAnsi" w:cs="Arial"/>
          <w:b/>
          <w:color w:val="00823B"/>
          <w:sz w:val="24"/>
        </w:rPr>
      </w:pPr>
      <w:r w:rsidRPr="009142FF">
        <w:rPr>
          <w:rFonts w:asciiTheme="minorHAnsi" w:eastAsia="Arial" w:hAnsiTheme="minorHAnsi" w:cs="Arial"/>
          <w:b/>
          <w:color w:val="00823B"/>
          <w:sz w:val="24"/>
        </w:rPr>
        <w:t>Flexible Learning Environments and Alternative Delivery Systems</w:t>
      </w:r>
    </w:p>
    <w:p w:rsidR="009142FF" w:rsidRPr="009142FF" w:rsidRDefault="009142FF" w:rsidP="009142FF">
      <w:pPr>
        <w:rPr>
          <w:rFonts w:asciiTheme="minorHAnsi" w:eastAsia="Arial" w:hAnsiTheme="minorHAnsi" w:cs="Arial"/>
          <w:color w:val="auto"/>
          <w:sz w:val="24"/>
        </w:rPr>
      </w:pPr>
      <w:r>
        <w:rPr>
          <w:rFonts w:asciiTheme="minorHAnsi" w:eastAsia="Arial" w:hAnsiTheme="minorHAnsi" w:cs="Arial"/>
          <w:color w:val="auto"/>
          <w:sz w:val="24"/>
        </w:rPr>
        <w:t>New concepts about teaching,</w:t>
      </w:r>
      <w:r w:rsidRPr="009142FF">
        <w:rPr>
          <w:rFonts w:asciiTheme="minorHAnsi" w:eastAsia="Arial" w:hAnsiTheme="minorHAnsi" w:cs="Arial"/>
          <w:color w:val="auto"/>
          <w:sz w:val="24"/>
        </w:rPr>
        <w:t xml:space="preserve"> </w:t>
      </w:r>
      <w:r w:rsidRPr="009142FF">
        <w:rPr>
          <w:rFonts w:asciiTheme="minorHAnsi" w:eastAsia="Arial" w:hAnsiTheme="minorHAnsi" w:cs="Arial"/>
          <w:color w:val="auto"/>
          <w:sz w:val="24"/>
        </w:rPr>
        <w:t>learning</w:t>
      </w:r>
      <w:r w:rsidRPr="009142FF">
        <w:rPr>
          <w:rFonts w:asciiTheme="minorHAnsi" w:eastAsia="Arial" w:hAnsiTheme="minorHAnsi" w:cs="Arial"/>
          <w:color w:val="auto"/>
          <w:sz w:val="24"/>
        </w:rPr>
        <w:t xml:space="preserve"> and the availability of technology for classroom practice are in productive harmony in </w:t>
      </w:r>
      <w:r>
        <w:rPr>
          <w:rFonts w:asciiTheme="minorHAnsi" w:eastAsia="Arial" w:hAnsiTheme="minorHAnsi" w:cs="Arial"/>
          <w:color w:val="auto"/>
          <w:sz w:val="24"/>
        </w:rPr>
        <w:t>teaching spaces</w:t>
      </w:r>
      <w:r w:rsidRPr="009142FF">
        <w:rPr>
          <w:rFonts w:asciiTheme="minorHAnsi" w:eastAsia="Arial" w:hAnsiTheme="minorHAnsi" w:cs="Arial"/>
          <w:color w:val="auto"/>
          <w:sz w:val="24"/>
        </w:rPr>
        <w:t xml:space="preserve"> today. To a surprising degree, </w:t>
      </w:r>
      <w:proofErr w:type="gramStart"/>
      <w:r w:rsidRPr="009142FF">
        <w:rPr>
          <w:rFonts w:asciiTheme="minorHAnsi" w:eastAsia="Arial" w:hAnsiTheme="minorHAnsi" w:cs="Arial"/>
          <w:color w:val="auto"/>
          <w:sz w:val="24"/>
        </w:rPr>
        <w:t>faculty</w:t>
      </w:r>
      <w:proofErr w:type="gramEnd"/>
      <w:r w:rsidRPr="009142FF">
        <w:rPr>
          <w:rFonts w:asciiTheme="minorHAnsi" w:eastAsia="Arial" w:hAnsiTheme="minorHAnsi" w:cs="Arial"/>
          <w:color w:val="auto"/>
          <w:sz w:val="24"/>
        </w:rPr>
        <w:t>, even those whose skills in technology lag, see the benefit of teaching in a “smart”</w:t>
      </w:r>
      <w:r w:rsidR="008349F0">
        <w:rPr>
          <w:rFonts w:asciiTheme="minorHAnsi" w:eastAsia="Arial" w:hAnsiTheme="minorHAnsi" w:cs="Arial"/>
          <w:color w:val="auto"/>
          <w:sz w:val="24"/>
        </w:rPr>
        <w:t xml:space="preserve"> or flexible</w:t>
      </w:r>
      <w:r w:rsidRPr="009142FF">
        <w:rPr>
          <w:rFonts w:asciiTheme="minorHAnsi" w:eastAsia="Arial" w:hAnsiTheme="minorHAnsi" w:cs="Arial"/>
          <w:color w:val="auto"/>
          <w:sz w:val="24"/>
        </w:rPr>
        <w:t xml:space="preserve"> classroom and in incorporating online instruction as a source of information and expertise. </w:t>
      </w:r>
    </w:p>
    <w:p w:rsidR="009142FF" w:rsidRPr="009142FF" w:rsidRDefault="009142FF" w:rsidP="009142FF">
      <w:pPr>
        <w:rPr>
          <w:rFonts w:asciiTheme="minorHAnsi" w:eastAsia="Arial" w:hAnsiTheme="minorHAnsi" w:cs="Arial"/>
          <w:color w:val="auto"/>
          <w:sz w:val="24"/>
        </w:rPr>
      </w:pPr>
      <w:r w:rsidRPr="009142FF">
        <w:rPr>
          <w:rFonts w:asciiTheme="minorHAnsi" w:eastAsia="Arial" w:hAnsiTheme="minorHAnsi" w:cs="Arial"/>
          <w:color w:val="auto"/>
          <w:sz w:val="24"/>
        </w:rPr>
        <w:lastRenderedPageBreak/>
        <w:t>As with any comprehensive change, the transformation of classrooms to accommodate new approaches in teaching and learning styles is challenging. Not only are there facility challenges, but also the technology required and the adaptations to specific uses require extensive planning and resources.  Collaboration with other colleges, including university partners, with regard to resource-sharing and innovative approaches to expand access to underserved populations is particularly important for students in remote areas.</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To connect with contemporary students, we need contemporar</w:t>
      </w:r>
      <w:r w:rsidR="00D6358B">
        <w:rPr>
          <w:rFonts w:asciiTheme="minorHAnsi" w:hAnsiTheme="minorHAnsi"/>
          <w:sz w:val="24"/>
        </w:rPr>
        <w:t xml:space="preserve">y learning </w:t>
      </w:r>
      <w:proofErr w:type="gramStart"/>
      <w:r w:rsidR="00D6358B">
        <w:rPr>
          <w:rFonts w:asciiTheme="minorHAnsi" w:hAnsiTheme="minorHAnsi"/>
          <w:sz w:val="24"/>
        </w:rPr>
        <w:t>environments</w:t>
      </w:r>
      <w:proofErr w:type="gramEnd"/>
      <w:r w:rsidR="00D6358B">
        <w:rPr>
          <w:rFonts w:asciiTheme="minorHAnsi" w:hAnsiTheme="minorHAnsi"/>
          <w:sz w:val="24"/>
        </w:rPr>
        <w:t xml:space="preserve"> and delivery</w:t>
      </w:r>
      <w:r w:rsidRPr="00602C7F">
        <w:rPr>
          <w:rFonts w:asciiTheme="minorHAnsi" w:hAnsiTheme="minorHAnsi"/>
          <w:sz w:val="24"/>
        </w:rPr>
        <w:t xml:space="preserve"> s</w:t>
      </w:r>
      <w:r w:rsidR="00D6358B">
        <w:rPr>
          <w:rFonts w:asciiTheme="minorHAnsi" w:hAnsiTheme="minorHAnsi"/>
          <w:sz w:val="24"/>
        </w:rPr>
        <w:t>ystems.</w:t>
      </w:r>
    </w:p>
    <w:p w:rsidR="00BB12C1" w:rsidRPr="00602C7F" w:rsidRDefault="00BB12C1" w:rsidP="00E30CA3">
      <w:pPr>
        <w:numPr>
          <w:ilvl w:val="0"/>
          <w:numId w:val="49"/>
        </w:numPr>
        <w:rPr>
          <w:rFonts w:asciiTheme="minorHAnsi" w:hAnsiTheme="minorHAnsi"/>
          <w:b/>
          <w:sz w:val="24"/>
        </w:rPr>
      </w:pPr>
      <w:r w:rsidRPr="00602C7F">
        <w:rPr>
          <w:rFonts w:asciiTheme="minorHAnsi" w:hAnsiTheme="minorHAnsi"/>
          <w:sz w:val="24"/>
        </w:rPr>
        <w:t xml:space="preserve">Join </w:t>
      </w:r>
      <w:r>
        <w:rPr>
          <w:rFonts w:asciiTheme="minorHAnsi" w:hAnsiTheme="minorHAnsi"/>
          <w:sz w:val="24"/>
        </w:rPr>
        <w:t>online education initiative</w:t>
      </w:r>
      <w:r w:rsidRPr="00602C7F">
        <w:rPr>
          <w:rFonts w:asciiTheme="minorHAnsi" w:hAnsiTheme="minorHAnsi"/>
          <w:sz w:val="24"/>
        </w:rPr>
        <w:t xml:space="preserve"> </w:t>
      </w:r>
      <w:r>
        <w:rPr>
          <w:rFonts w:asciiTheme="minorHAnsi" w:hAnsiTheme="minorHAnsi"/>
          <w:sz w:val="24"/>
        </w:rPr>
        <w:t xml:space="preserve">course </w:t>
      </w:r>
      <w:r w:rsidRPr="00602C7F">
        <w:rPr>
          <w:rFonts w:asciiTheme="minorHAnsi" w:hAnsiTheme="minorHAnsi"/>
          <w:sz w:val="24"/>
        </w:rPr>
        <w:t>exchange</w:t>
      </w:r>
      <w:r>
        <w:rPr>
          <w:rFonts w:asciiTheme="minorHAnsi" w:hAnsiTheme="minorHAnsi"/>
          <w:sz w:val="24"/>
        </w:rPr>
        <w:t xml:space="preserve"> in order to increase access to underserved student populations.</w:t>
      </w:r>
    </w:p>
    <w:p w:rsidR="00BB12C1" w:rsidRPr="00602C7F" w:rsidRDefault="00BB12C1" w:rsidP="00E30CA3">
      <w:pPr>
        <w:numPr>
          <w:ilvl w:val="0"/>
          <w:numId w:val="49"/>
        </w:numPr>
        <w:rPr>
          <w:rFonts w:asciiTheme="minorHAnsi" w:hAnsiTheme="minorHAnsi"/>
          <w:b/>
          <w:sz w:val="24"/>
        </w:rPr>
      </w:pPr>
      <w:r>
        <w:rPr>
          <w:rFonts w:asciiTheme="minorHAnsi" w:hAnsiTheme="minorHAnsi"/>
          <w:sz w:val="24"/>
        </w:rPr>
        <w:t>Streamline training and development</w:t>
      </w:r>
      <w:r w:rsidRPr="00602C7F">
        <w:rPr>
          <w:rFonts w:asciiTheme="minorHAnsi" w:hAnsiTheme="minorHAnsi"/>
          <w:sz w:val="24"/>
        </w:rPr>
        <w:t xml:space="preserve"> of instructors</w:t>
      </w:r>
      <w:r>
        <w:rPr>
          <w:rFonts w:asciiTheme="minorHAnsi" w:hAnsiTheme="minorHAnsi"/>
          <w:sz w:val="24"/>
        </w:rPr>
        <w:t xml:space="preserve"> to effectively teach in online and hybrid environments increasing student success and completion.</w:t>
      </w:r>
    </w:p>
    <w:p w:rsidR="00BB12C1" w:rsidRPr="00602C7F" w:rsidRDefault="00BB12C1" w:rsidP="00E30CA3">
      <w:pPr>
        <w:numPr>
          <w:ilvl w:val="0"/>
          <w:numId w:val="49"/>
        </w:numPr>
        <w:rPr>
          <w:rFonts w:asciiTheme="minorHAnsi" w:hAnsiTheme="minorHAnsi"/>
          <w:b/>
          <w:sz w:val="24"/>
        </w:rPr>
      </w:pPr>
      <w:r>
        <w:rPr>
          <w:rFonts w:asciiTheme="minorHAnsi" w:hAnsiTheme="minorHAnsi"/>
          <w:sz w:val="24"/>
        </w:rPr>
        <w:t>Develop and i</w:t>
      </w:r>
      <w:r w:rsidRPr="00602C7F">
        <w:rPr>
          <w:rFonts w:asciiTheme="minorHAnsi" w:hAnsiTheme="minorHAnsi"/>
          <w:sz w:val="24"/>
        </w:rPr>
        <w:t>nclude interview question</w:t>
      </w:r>
      <w:r>
        <w:rPr>
          <w:rFonts w:asciiTheme="minorHAnsi" w:hAnsiTheme="minorHAnsi"/>
          <w:sz w:val="24"/>
        </w:rPr>
        <w:t>s</w:t>
      </w:r>
      <w:r w:rsidRPr="00602C7F">
        <w:rPr>
          <w:rFonts w:asciiTheme="minorHAnsi" w:hAnsiTheme="minorHAnsi"/>
          <w:sz w:val="24"/>
        </w:rPr>
        <w:t xml:space="preserve"> about online teaching in </w:t>
      </w:r>
      <w:r>
        <w:rPr>
          <w:rFonts w:asciiTheme="minorHAnsi" w:hAnsiTheme="minorHAnsi"/>
          <w:sz w:val="24"/>
        </w:rPr>
        <w:t>faculty hiring interviews to hire a diverse, talented pool of faculty and expand professional development offerings as needed.</w:t>
      </w:r>
    </w:p>
    <w:p w:rsidR="00BB12C1" w:rsidRPr="00602C7F" w:rsidRDefault="00BB12C1" w:rsidP="00E30CA3">
      <w:pPr>
        <w:pStyle w:val="ListParagraph"/>
        <w:numPr>
          <w:ilvl w:val="0"/>
          <w:numId w:val="49"/>
        </w:numPr>
        <w:rPr>
          <w:rFonts w:asciiTheme="minorHAnsi" w:hAnsiTheme="minorHAnsi"/>
          <w:sz w:val="24"/>
        </w:rPr>
      </w:pPr>
      <w:r>
        <w:rPr>
          <w:rFonts w:asciiTheme="minorHAnsi" w:hAnsiTheme="minorHAnsi"/>
          <w:sz w:val="24"/>
        </w:rPr>
        <w:t>Prototype and pilot</w:t>
      </w:r>
      <w:r w:rsidRPr="00602C7F">
        <w:rPr>
          <w:rFonts w:asciiTheme="minorHAnsi" w:hAnsiTheme="minorHAnsi"/>
          <w:sz w:val="24"/>
        </w:rPr>
        <w:t xml:space="preserve"> shortened and overlapping </w:t>
      </w:r>
      <w:r>
        <w:rPr>
          <w:rFonts w:asciiTheme="minorHAnsi" w:hAnsiTheme="minorHAnsi"/>
          <w:sz w:val="24"/>
        </w:rPr>
        <w:t>coterminous schedules</w:t>
      </w:r>
      <w:r w:rsidRPr="00602C7F">
        <w:rPr>
          <w:rFonts w:asciiTheme="minorHAnsi" w:hAnsiTheme="minorHAnsi"/>
          <w:sz w:val="24"/>
        </w:rPr>
        <w:t xml:space="preserve"> (e.g. 5 week, 9 week, 13</w:t>
      </w:r>
      <w:r>
        <w:rPr>
          <w:rFonts w:asciiTheme="minorHAnsi" w:hAnsiTheme="minorHAnsi"/>
          <w:sz w:val="24"/>
        </w:rPr>
        <w:t xml:space="preserve"> week, and 18 week) as part of the academic calendar to increase access to non-traditional student populations and improve the efficient use of college facilities.</w:t>
      </w:r>
    </w:p>
    <w:p w:rsidR="00BB12C1" w:rsidRPr="00602C7F" w:rsidRDefault="00BB12C1" w:rsidP="00E30CA3">
      <w:pPr>
        <w:numPr>
          <w:ilvl w:val="0"/>
          <w:numId w:val="49"/>
        </w:numPr>
        <w:rPr>
          <w:rFonts w:asciiTheme="minorHAnsi" w:hAnsiTheme="minorHAnsi"/>
          <w:b/>
          <w:sz w:val="24"/>
        </w:rPr>
      </w:pPr>
      <w:r>
        <w:rPr>
          <w:rFonts w:asciiTheme="minorHAnsi" w:hAnsiTheme="minorHAnsi"/>
          <w:sz w:val="24"/>
        </w:rPr>
        <w:t>Develop n</w:t>
      </w:r>
      <w:r w:rsidRPr="00602C7F">
        <w:rPr>
          <w:rFonts w:asciiTheme="minorHAnsi" w:hAnsiTheme="minorHAnsi"/>
          <w:sz w:val="24"/>
        </w:rPr>
        <w:t>on-credit</w:t>
      </w:r>
      <w:r>
        <w:rPr>
          <w:rFonts w:asciiTheme="minorHAnsi" w:hAnsiTheme="minorHAnsi"/>
          <w:sz w:val="24"/>
        </w:rPr>
        <w:t xml:space="preserve"> courses and programs</w:t>
      </w:r>
      <w:r w:rsidRPr="00602C7F">
        <w:rPr>
          <w:rFonts w:asciiTheme="minorHAnsi" w:hAnsiTheme="minorHAnsi"/>
          <w:sz w:val="24"/>
        </w:rPr>
        <w:t xml:space="preserve"> to</w:t>
      </w:r>
      <w:r>
        <w:rPr>
          <w:rFonts w:asciiTheme="minorHAnsi" w:hAnsiTheme="minorHAnsi"/>
          <w:sz w:val="24"/>
        </w:rPr>
        <w:t xml:space="preserve"> better</w:t>
      </w:r>
      <w:r w:rsidRPr="00602C7F">
        <w:rPr>
          <w:rFonts w:asciiTheme="minorHAnsi" w:hAnsiTheme="minorHAnsi"/>
          <w:sz w:val="24"/>
        </w:rPr>
        <w:t xml:space="preserve"> address </w:t>
      </w:r>
      <w:r>
        <w:rPr>
          <w:rFonts w:asciiTheme="minorHAnsi" w:hAnsiTheme="minorHAnsi"/>
          <w:sz w:val="24"/>
        </w:rPr>
        <w:t>student needs in</w:t>
      </w:r>
      <w:r w:rsidRPr="00602C7F">
        <w:rPr>
          <w:rFonts w:asciiTheme="minorHAnsi" w:hAnsiTheme="minorHAnsi"/>
          <w:sz w:val="24"/>
        </w:rPr>
        <w:t xml:space="preserve"> ESL</w:t>
      </w:r>
      <w:r>
        <w:rPr>
          <w:rFonts w:asciiTheme="minorHAnsi" w:hAnsiTheme="minorHAnsi"/>
          <w:sz w:val="24"/>
        </w:rPr>
        <w:t xml:space="preserve"> and basic skills expanding access to underserved populations in our service area and improving success and completion rates.</w:t>
      </w:r>
    </w:p>
    <w:p w:rsidR="00BB12C1" w:rsidRPr="00602C7F" w:rsidRDefault="00BB12C1" w:rsidP="00E30CA3">
      <w:pPr>
        <w:numPr>
          <w:ilvl w:val="0"/>
          <w:numId w:val="49"/>
        </w:numPr>
        <w:rPr>
          <w:rFonts w:asciiTheme="minorHAnsi" w:hAnsiTheme="minorHAnsi"/>
          <w:b/>
          <w:sz w:val="24"/>
        </w:rPr>
      </w:pPr>
      <w:r>
        <w:rPr>
          <w:rFonts w:asciiTheme="minorHAnsi" w:hAnsiTheme="minorHAnsi"/>
          <w:sz w:val="24"/>
        </w:rPr>
        <w:t xml:space="preserve">Develop articulation with university partners, so students may enjoy a “degree with a guarantee” transfer agreements with other four-year institutions in addition to the California </w:t>
      </w:r>
      <w:r w:rsidR="00FB6DA3">
        <w:rPr>
          <w:rFonts w:asciiTheme="minorHAnsi" w:hAnsiTheme="minorHAnsi"/>
          <w:sz w:val="24"/>
        </w:rPr>
        <w:t>State</w:t>
      </w:r>
      <w:r>
        <w:rPr>
          <w:rFonts w:asciiTheme="minorHAnsi" w:hAnsiTheme="minorHAnsi"/>
          <w:sz w:val="24"/>
        </w:rPr>
        <w:t xml:space="preserve"> University.</w:t>
      </w:r>
    </w:p>
    <w:p w:rsidR="00BF50A8" w:rsidRPr="00BF50A8" w:rsidRDefault="00602C7F" w:rsidP="00E30CA3">
      <w:pPr>
        <w:numPr>
          <w:ilvl w:val="0"/>
          <w:numId w:val="49"/>
        </w:numPr>
        <w:rPr>
          <w:rFonts w:asciiTheme="minorHAnsi" w:hAnsiTheme="minorHAnsi"/>
          <w:b/>
          <w:sz w:val="24"/>
        </w:rPr>
      </w:pPr>
      <w:r w:rsidRPr="00602C7F">
        <w:rPr>
          <w:rFonts w:asciiTheme="minorHAnsi" w:hAnsiTheme="minorHAnsi"/>
          <w:sz w:val="24"/>
        </w:rPr>
        <w:t xml:space="preserve">Create a cohort program to help re-entry </w:t>
      </w:r>
      <w:r w:rsidR="00BB12C1">
        <w:rPr>
          <w:rFonts w:asciiTheme="minorHAnsi" w:hAnsiTheme="minorHAnsi"/>
          <w:sz w:val="24"/>
        </w:rPr>
        <w:t xml:space="preserve">and other non-traditional student populations </w:t>
      </w:r>
      <w:r w:rsidRPr="00602C7F">
        <w:rPr>
          <w:rFonts w:asciiTheme="minorHAnsi" w:hAnsiTheme="minorHAnsi"/>
          <w:sz w:val="24"/>
        </w:rPr>
        <w:t xml:space="preserve">earn associates degrees in a </w:t>
      </w:r>
      <w:r w:rsidR="00BB12C1">
        <w:rPr>
          <w:rFonts w:asciiTheme="minorHAnsi" w:hAnsiTheme="minorHAnsi"/>
          <w:sz w:val="24"/>
        </w:rPr>
        <w:t>structured</w:t>
      </w:r>
      <w:r w:rsidRPr="00602C7F">
        <w:rPr>
          <w:rFonts w:asciiTheme="minorHAnsi" w:hAnsiTheme="minorHAnsi"/>
          <w:sz w:val="24"/>
        </w:rPr>
        <w:t xml:space="preserve"> format that is linked to transfer </w:t>
      </w:r>
      <w:r w:rsidR="00BF50A8">
        <w:rPr>
          <w:rFonts w:asciiTheme="minorHAnsi" w:hAnsiTheme="minorHAnsi"/>
          <w:sz w:val="24"/>
        </w:rPr>
        <w:t>to</w:t>
      </w:r>
      <w:r w:rsidR="00937314">
        <w:rPr>
          <w:rFonts w:asciiTheme="minorHAnsi" w:hAnsiTheme="minorHAnsi"/>
          <w:sz w:val="24"/>
        </w:rPr>
        <w:t xml:space="preserve"> university partners</w:t>
      </w:r>
      <w:r w:rsidR="00BF50A8">
        <w:rPr>
          <w:rFonts w:asciiTheme="minorHAnsi" w:hAnsiTheme="minorHAnsi"/>
          <w:sz w:val="24"/>
        </w:rPr>
        <w:t xml:space="preserve">, such as </w:t>
      </w:r>
      <w:proofErr w:type="spellStart"/>
      <w:r w:rsidR="00BF50A8">
        <w:rPr>
          <w:rFonts w:asciiTheme="minorHAnsi" w:hAnsiTheme="minorHAnsi"/>
          <w:sz w:val="24"/>
        </w:rPr>
        <w:t>Brandman</w:t>
      </w:r>
      <w:proofErr w:type="spellEnd"/>
      <w:r w:rsidR="00BF50A8">
        <w:rPr>
          <w:rFonts w:asciiTheme="minorHAnsi" w:hAnsiTheme="minorHAnsi"/>
          <w:sz w:val="24"/>
        </w:rPr>
        <w:t xml:space="preserve"> University.</w:t>
      </w:r>
    </w:p>
    <w:p w:rsidR="00AD1889" w:rsidRPr="008349F0" w:rsidRDefault="00136838">
      <w:pPr>
        <w:rPr>
          <w:rFonts w:asciiTheme="minorHAnsi" w:eastAsia="Arial" w:hAnsiTheme="minorHAnsi" w:cs="Arial"/>
          <w:b/>
          <w:color w:val="00823B"/>
          <w:sz w:val="24"/>
        </w:rPr>
      </w:pPr>
      <w:r w:rsidRPr="008349F0">
        <w:rPr>
          <w:rFonts w:asciiTheme="minorHAnsi" w:eastAsia="Arial" w:hAnsiTheme="minorHAnsi" w:cs="Arial"/>
          <w:b/>
          <w:color w:val="00823B"/>
          <w:sz w:val="24"/>
        </w:rPr>
        <w:t>Building Partnerships</w:t>
      </w:r>
    </w:p>
    <w:p w:rsidR="008349F0" w:rsidRPr="008349F0" w:rsidRDefault="008349F0" w:rsidP="008349F0">
      <w:pPr>
        <w:rPr>
          <w:rFonts w:asciiTheme="minorHAnsi" w:eastAsia="Arial" w:hAnsiTheme="minorHAnsi" w:cs="Arial"/>
          <w:color w:val="auto"/>
          <w:sz w:val="24"/>
        </w:rPr>
      </w:pPr>
      <w:r w:rsidRPr="008349F0">
        <w:rPr>
          <w:rFonts w:asciiTheme="minorHAnsi" w:eastAsia="Arial" w:hAnsiTheme="minorHAnsi" w:cs="Arial"/>
          <w:color w:val="auto"/>
          <w:sz w:val="24"/>
        </w:rPr>
        <w:t xml:space="preserve">Building partnerships during the </w:t>
      </w:r>
      <w:r>
        <w:rPr>
          <w:rFonts w:asciiTheme="minorHAnsi" w:eastAsia="Arial" w:hAnsiTheme="minorHAnsi" w:cs="Arial"/>
          <w:color w:val="auto"/>
          <w:sz w:val="24"/>
        </w:rPr>
        <w:t>upcoming</w:t>
      </w:r>
      <w:r w:rsidRPr="008349F0">
        <w:rPr>
          <w:rFonts w:asciiTheme="minorHAnsi" w:eastAsia="Arial" w:hAnsiTheme="minorHAnsi" w:cs="Arial"/>
          <w:color w:val="auto"/>
          <w:sz w:val="24"/>
        </w:rPr>
        <w:t xml:space="preserve"> years will be a major component of C</w:t>
      </w:r>
      <w:r>
        <w:rPr>
          <w:rFonts w:asciiTheme="minorHAnsi" w:eastAsia="Arial" w:hAnsiTheme="minorHAnsi" w:cs="Arial"/>
          <w:color w:val="auto"/>
          <w:sz w:val="24"/>
        </w:rPr>
        <w:t>HC’</w:t>
      </w:r>
      <w:r w:rsidRPr="008349F0">
        <w:rPr>
          <w:rFonts w:asciiTheme="minorHAnsi" w:eastAsia="Arial" w:hAnsiTheme="minorHAnsi" w:cs="Arial"/>
          <w:color w:val="auto"/>
          <w:sz w:val="24"/>
        </w:rPr>
        <w:t xml:space="preserve">s quest to establish itself as a comprehensive college. Partnership development will be </w:t>
      </w:r>
      <w:r>
        <w:rPr>
          <w:rFonts w:asciiTheme="minorHAnsi" w:eastAsia="Arial" w:hAnsiTheme="minorHAnsi" w:cs="Arial"/>
          <w:color w:val="auto"/>
          <w:sz w:val="24"/>
        </w:rPr>
        <w:t>essential</w:t>
      </w:r>
      <w:r w:rsidRPr="008349F0">
        <w:rPr>
          <w:rFonts w:asciiTheme="minorHAnsi" w:eastAsia="Arial" w:hAnsiTheme="minorHAnsi" w:cs="Arial"/>
          <w:color w:val="auto"/>
          <w:sz w:val="24"/>
        </w:rPr>
        <w:t xml:space="preserve"> to public relations and to extending services in the service area.  In addition, private sector relationships, especially those with the </w:t>
      </w:r>
      <w:r>
        <w:rPr>
          <w:rFonts w:asciiTheme="minorHAnsi" w:eastAsia="Arial" w:hAnsiTheme="minorHAnsi" w:cs="Arial"/>
          <w:color w:val="auto"/>
          <w:sz w:val="24"/>
        </w:rPr>
        <w:t xml:space="preserve">service area </w:t>
      </w:r>
      <w:r w:rsidRPr="008349F0">
        <w:rPr>
          <w:rFonts w:asciiTheme="minorHAnsi" w:eastAsia="Arial" w:hAnsiTheme="minorHAnsi" w:cs="Arial"/>
          <w:color w:val="auto"/>
          <w:sz w:val="24"/>
        </w:rPr>
        <w:t>employer community, are direct steps to internships, job training</w:t>
      </w:r>
      <w:r>
        <w:rPr>
          <w:rFonts w:asciiTheme="minorHAnsi" w:eastAsia="Arial" w:hAnsiTheme="minorHAnsi" w:cs="Arial"/>
          <w:color w:val="auto"/>
          <w:sz w:val="24"/>
        </w:rPr>
        <w:t>,</w:t>
      </w:r>
      <w:r w:rsidRPr="008349F0">
        <w:rPr>
          <w:rFonts w:asciiTheme="minorHAnsi" w:eastAsia="Arial" w:hAnsiTheme="minorHAnsi" w:cs="Arial"/>
          <w:color w:val="auto"/>
          <w:sz w:val="24"/>
        </w:rPr>
        <w:t xml:space="preserve"> and employment for students. Long-term steps and benefits of partnerships with </w:t>
      </w:r>
      <w:r w:rsidRPr="008349F0">
        <w:rPr>
          <w:rFonts w:asciiTheme="minorHAnsi" w:eastAsia="Arial" w:hAnsiTheme="minorHAnsi" w:cs="Arial"/>
          <w:color w:val="auto"/>
          <w:sz w:val="24"/>
        </w:rPr>
        <w:lastRenderedPageBreak/>
        <w:t xml:space="preserve">business and industry will result in up-to-date and innovative education and training programs, new teaching methods, stronger support for the </w:t>
      </w:r>
      <w:r>
        <w:rPr>
          <w:rFonts w:asciiTheme="minorHAnsi" w:eastAsia="Arial" w:hAnsiTheme="minorHAnsi" w:cs="Arial"/>
          <w:color w:val="auto"/>
          <w:sz w:val="24"/>
        </w:rPr>
        <w:t>C</w:t>
      </w:r>
      <w:r w:rsidRPr="008349F0">
        <w:rPr>
          <w:rFonts w:asciiTheme="minorHAnsi" w:eastAsia="Arial" w:hAnsiTheme="minorHAnsi" w:cs="Arial"/>
          <w:color w:val="auto"/>
          <w:sz w:val="24"/>
        </w:rPr>
        <w:t>ollege</w:t>
      </w:r>
      <w:r>
        <w:rPr>
          <w:rFonts w:asciiTheme="minorHAnsi" w:eastAsia="Arial" w:hAnsiTheme="minorHAnsi" w:cs="Arial"/>
          <w:color w:val="auto"/>
          <w:sz w:val="24"/>
        </w:rPr>
        <w:t>,</w:t>
      </w:r>
      <w:r w:rsidRPr="008349F0">
        <w:rPr>
          <w:rFonts w:asciiTheme="minorHAnsi" w:eastAsia="Arial" w:hAnsiTheme="minorHAnsi" w:cs="Arial"/>
          <w:color w:val="auto"/>
          <w:sz w:val="24"/>
        </w:rPr>
        <w:t xml:space="preserve"> and fundraising success.</w:t>
      </w:r>
    </w:p>
    <w:p w:rsidR="008349F0" w:rsidRPr="008349F0" w:rsidRDefault="008349F0" w:rsidP="008349F0">
      <w:pPr>
        <w:rPr>
          <w:rFonts w:asciiTheme="minorHAnsi" w:eastAsia="Arial" w:hAnsiTheme="minorHAnsi" w:cs="Arial"/>
          <w:color w:val="auto"/>
          <w:sz w:val="24"/>
        </w:rPr>
      </w:pPr>
      <w:r w:rsidRPr="008349F0">
        <w:rPr>
          <w:rFonts w:asciiTheme="minorHAnsi" w:eastAsia="Arial" w:hAnsiTheme="minorHAnsi" w:cs="Arial"/>
          <w:color w:val="auto"/>
          <w:sz w:val="24"/>
        </w:rPr>
        <w:t xml:space="preserve">Stronger ties with educational partners in K-12, including Adult Schools, and four-year institutions are high priorities of policy-makers in public education in the State. The current concern for the economy of the State calls for more and better workforce preparation and greater productivity in moving students from high schools through the tiers of higher education. Educators in the public sector are frustrated by under-preparation of students in their classes. Students themselves find the complexity of institutional processes and the challenge of enrolling in the appropriate classes when they need them. Curriculum alignment from high school and beyond will be a major step toward </w:t>
      </w:r>
      <w:r w:rsidR="00E229B3">
        <w:rPr>
          <w:rFonts w:asciiTheme="minorHAnsi" w:eastAsia="Arial" w:hAnsiTheme="minorHAnsi" w:cs="Arial"/>
          <w:color w:val="auto"/>
          <w:sz w:val="24"/>
        </w:rPr>
        <w:t xml:space="preserve">in </w:t>
      </w:r>
      <w:r w:rsidRPr="008349F0">
        <w:rPr>
          <w:rFonts w:asciiTheme="minorHAnsi" w:eastAsia="Arial" w:hAnsiTheme="minorHAnsi" w:cs="Arial"/>
          <w:color w:val="auto"/>
          <w:sz w:val="24"/>
        </w:rPr>
        <w:t>addressing student readiness and success. The progress</w:t>
      </w:r>
      <w:r w:rsidR="00E229B3">
        <w:rPr>
          <w:rFonts w:asciiTheme="minorHAnsi" w:eastAsia="Arial" w:hAnsiTheme="minorHAnsi" w:cs="Arial"/>
          <w:color w:val="auto"/>
          <w:sz w:val="24"/>
        </w:rPr>
        <w:t xml:space="preserve"> that has been made between </w:t>
      </w:r>
      <w:r w:rsidRPr="008349F0">
        <w:rPr>
          <w:rFonts w:asciiTheme="minorHAnsi" w:eastAsia="Arial" w:hAnsiTheme="minorHAnsi" w:cs="Arial"/>
          <w:color w:val="auto"/>
          <w:sz w:val="24"/>
        </w:rPr>
        <w:t xml:space="preserve">community colleges and their 4-year education partners with course articulation and </w:t>
      </w:r>
      <w:r w:rsidR="00E229B3">
        <w:rPr>
          <w:rFonts w:asciiTheme="minorHAnsi" w:eastAsia="Arial" w:hAnsiTheme="minorHAnsi" w:cs="Arial"/>
          <w:color w:val="auto"/>
          <w:sz w:val="24"/>
        </w:rPr>
        <w:t>guaranteed t</w:t>
      </w:r>
      <w:r w:rsidRPr="008349F0">
        <w:rPr>
          <w:rFonts w:asciiTheme="minorHAnsi" w:eastAsia="Arial" w:hAnsiTheme="minorHAnsi" w:cs="Arial"/>
          <w:color w:val="auto"/>
          <w:sz w:val="24"/>
        </w:rPr>
        <w:t>ransfer</w:t>
      </w:r>
      <w:r w:rsidR="00E229B3">
        <w:rPr>
          <w:rFonts w:asciiTheme="minorHAnsi" w:eastAsia="Arial" w:hAnsiTheme="minorHAnsi" w:cs="Arial"/>
          <w:color w:val="auto"/>
          <w:sz w:val="24"/>
        </w:rPr>
        <w:t xml:space="preserve"> agreements</w:t>
      </w:r>
      <w:r w:rsidRPr="008349F0">
        <w:rPr>
          <w:rFonts w:asciiTheme="minorHAnsi" w:eastAsia="Arial" w:hAnsiTheme="minorHAnsi" w:cs="Arial"/>
          <w:color w:val="auto"/>
          <w:sz w:val="24"/>
        </w:rPr>
        <w:t xml:space="preserve"> is evidence that curriculum alignment can be successful. The recently developed Transfer Pathways of popular UC majors, with the promise of more majors to be identified is good news for students and community college educators. </w:t>
      </w:r>
    </w:p>
    <w:p w:rsidR="008349F0" w:rsidRPr="008349F0" w:rsidRDefault="008349F0" w:rsidP="008349F0">
      <w:pPr>
        <w:rPr>
          <w:rFonts w:asciiTheme="minorHAnsi" w:eastAsia="Arial" w:hAnsiTheme="minorHAnsi" w:cs="Arial"/>
          <w:color w:val="auto"/>
          <w:sz w:val="24"/>
        </w:rPr>
      </w:pPr>
      <w:r w:rsidRPr="008349F0">
        <w:rPr>
          <w:rFonts w:asciiTheme="minorHAnsi" w:eastAsia="Arial" w:hAnsiTheme="minorHAnsi" w:cs="Arial"/>
          <w:color w:val="auto"/>
          <w:sz w:val="24"/>
        </w:rPr>
        <w:t>Careful planning in how to allocate the limited resources of CHC toward this effort will be important. Priorities and timelines will clarify the focus. Formative evaluation of progress toward reasonable, long-term goals is important</w:t>
      </w:r>
      <w:r w:rsidR="00E229B3">
        <w:rPr>
          <w:rFonts w:asciiTheme="minorHAnsi" w:eastAsia="Arial" w:hAnsiTheme="minorHAnsi" w:cs="Arial"/>
          <w:color w:val="auto"/>
          <w:sz w:val="24"/>
        </w:rPr>
        <w:t>.</w:t>
      </w:r>
      <w:r w:rsidRPr="008349F0">
        <w:rPr>
          <w:rFonts w:asciiTheme="minorHAnsi" w:eastAsia="Arial" w:hAnsiTheme="minorHAnsi" w:cs="Arial"/>
          <w:color w:val="auto"/>
          <w:sz w:val="24"/>
        </w:rPr>
        <w:t xml:space="preserve">  </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 xml:space="preserve">As </w:t>
      </w:r>
      <w:r w:rsidR="00BB12C1">
        <w:rPr>
          <w:rFonts w:asciiTheme="minorHAnsi" w:hAnsiTheme="minorHAnsi"/>
          <w:sz w:val="24"/>
        </w:rPr>
        <w:t>Crafton Hills College</w:t>
      </w:r>
      <w:r w:rsidR="00FB2AF8">
        <w:rPr>
          <w:rFonts w:asciiTheme="minorHAnsi" w:hAnsiTheme="minorHAnsi"/>
          <w:sz w:val="24"/>
        </w:rPr>
        <w:t xml:space="preserve"> </w:t>
      </w:r>
      <w:r w:rsidR="007078A0">
        <w:rPr>
          <w:rFonts w:asciiTheme="minorHAnsi" w:hAnsiTheme="minorHAnsi"/>
          <w:sz w:val="24"/>
        </w:rPr>
        <w:t>improves</w:t>
      </w:r>
      <w:r w:rsidR="00FB2AF8">
        <w:rPr>
          <w:rFonts w:asciiTheme="minorHAnsi" w:hAnsiTheme="minorHAnsi"/>
          <w:sz w:val="24"/>
        </w:rPr>
        <w:t xml:space="preserve"> its</w:t>
      </w:r>
      <w:r w:rsidRPr="00602C7F">
        <w:rPr>
          <w:rFonts w:asciiTheme="minorHAnsi" w:hAnsiTheme="minorHAnsi"/>
          <w:sz w:val="24"/>
        </w:rPr>
        <w:t xml:space="preserve"> </w:t>
      </w:r>
      <w:r w:rsidR="00BB12C1">
        <w:rPr>
          <w:rFonts w:asciiTheme="minorHAnsi" w:hAnsiTheme="minorHAnsi"/>
          <w:sz w:val="24"/>
        </w:rPr>
        <w:t>external facing identity</w:t>
      </w:r>
      <w:r w:rsidR="00BB12C1" w:rsidRPr="00602C7F">
        <w:rPr>
          <w:rFonts w:asciiTheme="minorHAnsi" w:hAnsiTheme="minorHAnsi"/>
          <w:sz w:val="24"/>
        </w:rPr>
        <w:t xml:space="preserve"> </w:t>
      </w:r>
      <w:r w:rsidRPr="00602C7F">
        <w:rPr>
          <w:rFonts w:asciiTheme="minorHAnsi" w:hAnsiTheme="minorHAnsi"/>
          <w:sz w:val="24"/>
        </w:rPr>
        <w:t xml:space="preserve">and attempts to grow, we need </w:t>
      </w:r>
      <w:r w:rsidR="00BB12C1">
        <w:rPr>
          <w:rFonts w:asciiTheme="minorHAnsi" w:hAnsiTheme="minorHAnsi"/>
          <w:sz w:val="24"/>
        </w:rPr>
        <w:t xml:space="preserve">more, better developed </w:t>
      </w:r>
      <w:r w:rsidRPr="00602C7F">
        <w:rPr>
          <w:rFonts w:asciiTheme="minorHAnsi" w:hAnsiTheme="minorHAnsi"/>
          <w:sz w:val="24"/>
        </w:rPr>
        <w:t>par</w:t>
      </w:r>
      <w:r w:rsidR="002817A1">
        <w:rPr>
          <w:rFonts w:asciiTheme="minorHAnsi" w:hAnsiTheme="minorHAnsi"/>
          <w:sz w:val="24"/>
        </w:rPr>
        <w:t>tner</w:t>
      </w:r>
      <w:r w:rsidR="00BB12C1">
        <w:rPr>
          <w:rFonts w:asciiTheme="minorHAnsi" w:hAnsiTheme="minorHAnsi"/>
          <w:sz w:val="24"/>
        </w:rPr>
        <w:t>ships</w:t>
      </w:r>
      <w:r w:rsidR="002817A1">
        <w:rPr>
          <w:rFonts w:asciiTheme="minorHAnsi" w:hAnsiTheme="minorHAnsi"/>
          <w:sz w:val="24"/>
        </w:rPr>
        <w:t xml:space="preserve">. We need to </w:t>
      </w:r>
      <w:r w:rsidR="00BB12C1">
        <w:rPr>
          <w:rFonts w:asciiTheme="minorHAnsi" w:hAnsiTheme="minorHAnsi"/>
          <w:sz w:val="24"/>
        </w:rPr>
        <w:t xml:space="preserve">methodically and systematically </w:t>
      </w:r>
      <w:r w:rsidR="002817A1">
        <w:rPr>
          <w:rFonts w:asciiTheme="minorHAnsi" w:hAnsiTheme="minorHAnsi"/>
          <w:sz w:val="24"/>
        </w:rPr>
        <w:t>partner with K-16 e</w:t>
      </w:r>
      <w:r w:rsidRPr="00602C7F">
        <w:rPr>
          <w:rFonts w:asciiTheme="minorHAnsi" w:hAnsiTheme="minorHAnsi"/>
          <w:sz w:val="24"/>
        </w:rPr>
        <w:t>du</w:t>
      </w:r>
      <w:r w:rsidR="002817A1">
        <w:rPr>
          <w:rFonts w:asciiTheme="minorHAnsi" w:hAnsiTheme="minorHAnsi"/>
          <w:sz w:val="24"/>
        </w:rPr>
        <w:t>cation</w:t>
      </w:r>
      <w:r w:rsidRPr="00602C7F">
        <w:rPr>
          <w:rFonts w:asciiTheme="minorHAnsi" w:hAnsiTheme="minorHAnsi"/>
          <w:sz w:val="24"/>
        </w:rPr>
        <w:t xml:space="preserve">, civic, business and political partners in a manner that moves our strategic goals forward. </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 xml:space="preserve">Develop </w:t>
      </w:r>
      <w:r w:rsidR="007078A0">
        <w:rPr>
          <w:rFonts w:asciiTheme="minorHAnsi" w:hAnsiTheme="minorHAnsi"/>
          <w:sz w:val="24"/>
        </w:rPr>
        <w:t>a</w:t>
      </w:r>
      <w:r w:rsidRPr="00602C7F">
        <w:rPr>
          <w:rFonts w:asciiTheme="minorHAnsi" w:hAnsiTheme="minorHAnsi"/>
          <w:sz w:val="24"/>
        </w:rPr>
        <w:t xml:space="preserve"> flexible and user-friendly </w:t>
      </w:r>
      <w:r w:rsidR="007078A0" w:rsidRPr="00602C7F">
        <w:rPr>
          <w:rFonts w:asciiTheme="minorHAnsi" w:hAnsiTheme="minorHAnsi"/>
          <w:sz w:val="24"/>
        </w:rPr>
        <w:t xml:space="preserve">internship program </w:t>
      </w:r>
      <w:r w:rsidRPr="00602C7F">
        <w:rPr>
          <w:rFonts w:asciiTheme="minorHAnsi" w:hAnsiTheme="minorHAnsi"/>
          <w:sz w:val="24"/>
        </w:rPr>
        <w:t>to link ou</w:t>
      </w:r>
      <w:r w:rsidR="007078A0">
        <w:rPr>
          <w:rFonts w:asciiTheme="minorHAnsi" w:hAnsiTheme="minorHAnsi"/>
          <w:sz w:val="24"/>
        </w:rPr>
        <w:t>r students with local employers in order to increase success and completion.</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 xml:space="preserve">Develop partnership with local </w:t>
      </w:r>
      <w:r w:rsidR="007078A0">
        <w:rPr>
          <w:rFonts w:asciiTheme="minorHAnsi" w:hAnsiTheme="minorHAnsi"/>
          <w:sz w:val="24"/>
        </w:rPr>
        <w:t>employers</w:t>
      </w:r>
      <w:r w:rsidRPr="00602C7F">
        <w:rPr>
          <w:rFonts w:asciiTheme="minorHAnsi" w:hAnsiTheme="minorHAnsi"/>
          <w:sz w:val="24"/>
        </w:rPr>
        <w:t xml:space="preserve"> for </w:t>
      </w:r>
      <w:r w:rsidRPr="002817A1">
        <w:rPr>
          <w:rFonts w:asciiTheme="minorHAnsi" w:hAnsiTheme="minorHAnsi"/>
          <w:sz w:val="24"/>
        </w:rPr>
        <w:t>internships</w:t>
      </w:r>
      <w:r w:rsidR="002817A1">
        <w:rPr>
          <w:rFonts w:asciiTheme="minorHAnsi" w:hAnsiTheme="minorHAnsi"/>
          <w:sz w:val="24"/>
        </w:rPr>
        <w:t>, apprenticeships, and similar pedagogical approaches</w:t>
      </w:r>
      <w:r w:rsidRPr="00602C7F">
        <w:rPr>
          <w:rFonts w:asciiTheme="minorHAnsi" w:hAnsiTheme="minorHAnsi"/>
          <w:sz w:val="24"/>
        </w:rPr>
        <w:t xml:space="preserve">. </w:t>
      </w:r>
    </w:p>
    <w:p w:rsidR="00862DFC" w:rsidRPr="00602C7F" w:rsidRDefault="00862DFC" w:rsidP="00E30CA3">
      <w:pPr>
        <w:numPr>
          <w:ilvl w:val="0"/>
          <w:numId w:val="49"/>
        </w:numPr>
        <w:rPr>
          <w:rFonts w:asciiTheme="minorHAnsi" w:hAnsiTheme="minorHAnsi"/>
          <w:b/>
          <w:sz w:val="24"/>
        </w:rPr>
      </w:pPr>
      <w:r>
        <w:rPr>
          <w:rFonts w:asciiTheme="minorHAnsi" w:hAnsiTheme="minorHAnsi"/>
          <w:sz w:val="24"/>
        </w:rPr>
        <w:t>Develop a contract education p</w:t>
      </w:r>
      <w:r w:rsidRPr="00602C7F">
        <w:rPr>
          <w:rFonts w:asciiTheme="minorHAnsi" w:hAnsiTheme="minorHAnsi"/>
          <w:sz w:val="24"/>
        </w:rPr>
        <w:t>artnership with Amazon</w:t>
      </w:r>
      <w:r>
        <w:rPr>
          <w:rFonts w:asciiTheme="minorHAnsi" w:hAnsiTheme="minorHAnsi"/>
          <w:sz w:val="24"/>
        </w:rPr>
        <w:t xml:space="preserve"> and similar companies for logistics and</w:t>
      </w:r>
      <w:r w:rsidRPr="00602C7F">
        <w:rPr>
          <w:rFonts w:asciiTheme="minorHAnsi" w:hAnsiTheme="minorHAnsi"/>
          <w:sz w:val="24"/>
        </w:rPr>
        <w:t xml:space="preserve"> distribution center training of staff &amp; future employees.</w:t>
      </w:r>
      <w:r>
        <w:rPr>
          <w:rFonts w:asciiTheme="minorHAnsi" w:hAnsiTheme="minorHAnsi"/>
          <w:sz w:val="24"/>
        </w:rPr>
        <w:t xml:space="preserve"> Further the partnership for development of a logistics certificate and degree pathway.</w:t>
      </w:r>
    </w:p>
    <w:p w:rsidR="00862DFC" w:rsidRPr="00602C7F" w:rsidRDefault="00862DFC" w:rsidP="00E30CA3">
      <w:pPr>
        <w:numPr>
          <w:ilvl w:val="0"/>
          <w:numId w:val="49"/>
        </w:numPr>
        <w:rPr>
          <w:rFonts w:asciiTheme="minorHAnsi" w:hAnsiTheme="minorHAnsi"/>
          <w:b/>
          <w:sz w:val="24"/>
        </w:rPr>
      </w:pPr>
      <w:r w:rsidRPr="00602C7F">
        <w:rPr>
          <w:rFonts w:asciiTheme="minorHAnsi" w:hAnsiTheme="minorHAnsi"/>
          <w:sz w:val="24"/>
        </w:rPr>
        <w:t xml:space="preserve">Build </w:t>
      </w:r>
      <w:r>
        <w:rPr>
          <w:rFonts w:asciiTheme="minorHAnsi" w:hAnsiTheme="minorHAnsi"/>
          <w:sz w:val="24"/>
        </w:rPr>
        <w:t xml:space="preserve">business and community </w:t>
      </w:r>
      <w:r w:rsidRPr="00602C7F">
        <w:rPr>
          <w:rFonts w:asciiTheme="minorHAnsi" w:hAnsiTheme="minorHAnsi"/>
          <w:sz w:val="24"/>
        </w:rPr>
        <w:t>partnerships</w:t>
      </w:r>
      <w:r>
        <w:rPr>
          <w:rFonts w:asciiTheme="minorHAnsi" w:hAnsiTheme="minorHAnsi"/>
          <w:sz w:val="24"/>
        </w:rPr>
        <w:t xml:space="preserve"> with local leaders and institutions</w:t>
      </w:r>
      <w:r w:rsidRPr="00602C7F">
        <w:rPr>
          <w:rFonts w:asciiTheme="minorHAnsi" w:hAnsiTheme="minorHAnsi"/>
          <w:sz w:val="24"/>
        </w:rPr>
        <w:t xml:space="preserve"> toward areas o</w:t>
      </w:r>
      <w:r>
        <w:rPr>
          <w:rFonts w:asciiTheme="minorHAnsi" w:hAnsiTheme="minorHAnsi"/>
          <w:sz w:val="24"/>
        </w:rPr>
        <w:t xml:space="preserve">f future expansion of programs. For </w:t>
      </w:r>
      <w:r w:rsidRPr="00602C7F">
        <w:rPr>
          <w:rFonts w:asciiTheme="minorHAnsi" w:hAnsiTheme="minorHAnsi"/>
          <w:sz w:val="24"/>
        </w:rPr>
        <w:t>example</w:t>
      </w:r>
      <w:r>
        <w:rPr>
          <w:rFonts w:asciiTheme="minorHAnsi" w:hAnsiTheme="minorHAnsi"/>
          <w:sz w:val="24"/>
        </w:rPr>
        <w:t>, Crafton Hills College can develop a partnership with ESRI, University of Redlands, and local high schools in further developing a geographic information systems program and pathway.</w:t>
      </w:r>
    </w:p>
    <w:p w:rsidR="00602C7F" w:rsidRPr="00602C7F" w:rsidRDefault="007078A0" w:rsidP="00E30CA3">
      <w:pPr>
        <w:numPr>
          <w:ilvl w:val="0"/>
          <w:numId w:val="49"/>
        </w:numPr>
        <w:rPr>
          <w:rFonts w:asciiTheme="minorHAnsi" w:hAnsiTheme="minorHAnsi"/>
          <w:b/>
          <w:sz w:val="24"/>
        </w:rPr>
      </w:pPr>
      <w:r>
        <w:rPr>
          <w:rFonts w:asciiTheme="minorHAnsi" w:hAnsiTheme="minorHAnsi"/>
          <w:sz w:val="24"/>
        </w:rPr>
        <w:t>Create n</w:t>
      </w:r>
      <w:r w:rsidR="00602C7F" w:rsidRPr="00602C7F">
        <w:rPr>
          <w:rFonts w:asciiTheme="minorHAnsi" w:hAnsiTheme="minorHAnsi"/>
          <w:sz w:val="24"/>
        </w:rPr>
        <w:t xml:space="preserve">ew </w:t>
      </w:r>
      <w:r w:rsidR="00602C7F" w:rsidRPr="002817A1">
        <w:rPr>
          <w:rFonts w:asciiTheme="minorHAnsi" w:hAnsiTheme="minorHAnsi"/>
          <w:sz w:val="24"/>
        </w:rPr>
        <w:t>advisory groups</w:t>
      </w:r>
      <w:r>
        <w:rPr>
          <w:rFonts w:asciiTheme="minorHAnsi" w:hAnsiTheme="minorHAnsi"/>
          <w:sz w:val="24"/>
        </w:rPr>
        <w:t xml:space="preserve"> for our programs to ensure alignment with local business needs.</w:t>
      </w:r>
    </w:p>
    <w:p w:rsidR="00862DFC" w:rsidRPr="00602C7F" w:rsidRDefault="00862DFC" w:rsidP="00E30CA3">
      <w:pPr>
        <w:numPr>
          <w:ilvl w:val="0"/>
          <w:numId w:val="49"/>
        </w:numPr>
        <w:rPr>
          <w:rFonts w:asciiTheme="minorHAnsi" w:hAnsiTheme="minorHAnsi"/>
          <w:b/>
          <w:sz w:val="24"/>
        </w:rPr>
      </w:pPr>
      <w:r w:rsidRPr="00602C7F">
        <w:rPr>
          <w:rFonts w:asciiTheme="minorHAnsi" w:hAnsiTheme="minorHAnsi"/>
          <w:sz w:val="24"/>
        </w:rPr>
        <w:lastRenderedPageBreak/>
        <w:t>Cr</w:t>
      </w:r>
      <w:r>
        <w:rPr>
          <w:rFonts w:asciiTheme="minorHAnsi" w:hAnsiTheme="minorHAnsi"/>
          <w:sz w:val="24"/>
        </w:rPr>
        <w:t>eate and expand partner</w:t>
      </w:r>
      <w:r w:rsidRPr="00602C7F">
        <w:rPr>
          <w:rFonts w:asciiTheme="minorHAnsi" w:hAnsiTheme="minorHAnsi"/>
          <w:sz w:val="24"/>
        </w:rPr>
        <w:t>ships with local public safety agencies by exploring</w:t>
      </w:r>
      <w:r>
        <w:rPr>
          <w:rFonts w:asciiTheme="minorHAnsi" w:hAnsiTheme="minorHAnsi"/>
          <w:sz w:val="24"/>
        </w:rPr>
        <w:t xml:space="preserve"> a</w:t>
      </w:r>
      <w:r w:rsidRPr="00602C7F">
        <w:rPr>
          <w:rFonts w:asciiTheme="minorHAnsi" w:hAnsiTheme="minorHAnsi"/>
          <w:sz w:val="24"/>
        </w:rPr>
        <w:t xml:space="preserve"> fire training facility &amp; command center.</w:t>
      </w:r>
    </w:p>
    <w:p w:rsidR="00862DFC" w:rsidRPr="00862DFC" w:rsidRDefault="00862DFC" w:rsidP="00E30CA3">
      <w:pPr>
        <w:numPr>
          <w:ilvl w:val="0"/>
          <w:numId w:val="49"/>
        </w:numPr>
        <w:rPr>
          <w:rFonts w:asciiTheme="minorHAnsi" w:hAnsiTheme="minorHAnsi"/>
          <w:b/>
          <w:sz w:val="24"/>
        </w:rPr>
      </w:pPr>
      <w:r w:rsidRPr="00862DFC">
        <w:rPr>
          <w:rFonts w:asciiTheme="minorHAnsi" w:hAnsiTheme="minorHAnsi"/>
          <w:sz w:val="24"/>
        </w:rPr>
        <w:t xml:space="preserve">Work closely with K-12 districts for curriculum alignment, pathway projects, outreach efforts target under-represented groups, </w:t>
      </w:r>
      <w:r>
        <w:rPr>
          <w:rFonts w:asciiTheme="minorHAnsi" w:hAnsiTheme="minorHAnsi"/>
          <w:sz w:val="24"/>
        </w:rPr>
        <w:t>and c</w:t>
      </w:r>
      <w:r w:rsidRPr="00862DFC">
        <w:rPr>
          <w:rFonts w:asciiTheme="minorHAnsi" w:hAnsiTheme="minorHAnsi"/>
          <w:sz w:val="24"/>
        </w:rPr>
        <w:t>ounselor advisory group</w:t>
      </w:r>
      <w:r>
        <w:rPr>
          <w:rFonts w:asciiTheme="minorHAnsi" w:hAnsiTheme="minorHAnsi"/>
          <w:sz w:val="24"/>
        </w:rPr>
        <w:t>.</w:t>
      </w:r>
    </w:p>
    <w:p w:rsidR="00862DFC" w:rsidRPr="00602C7F" w:rsidRDefault="00862DFC" w:rsidP="00E30CA3">
      <w:pPr>
        <w:numPr>
          <w:ilvl w:val="0"/>
          <w:numId w:val="49"/>
        </w:numPr>
        <w:rPr>
          <w:rFonts w:asciiTheme="minorHAnsi" w:hAnsiTheme="minorHAnsi"/>
          <w:b/>
          <w:sz w:val="24"/>
        </w:rPr>
      </w:pPr>
      <w:r w:rsidRPr="00602C7F">
        <w:rPr>
          <w:rFonts w:asciiTheme="minorHAnsi" w:hAnsiTheme="minorHAnsi"/>
          <w:sz w:val="24"/>
        </w:rPr>
        <w:t xml:space="preserve">Maintain regular content </w:t>
      </w:r>
      <w:r>
        <w:rPr>
          <w:rFonts w:asciiTheme="minorHAnsi" w:hAnsiTheme="minorHAnsi"/>
          <w:sz w:val="24"/>
        </w:rPr>
        <w:t xml:space="preserve">alignment </w:t>
      </w:r>
      <w:r w:rsidRPr="00602C7F">
        <w:rPr>
          <w:rFonts w:asciiTheme="minorHAnsi" w:hAnsiTheme="minorHAnsi"/>
          <w:sz w:val="24"/>
        </w:rPr>
        <w:t>and mutual advice with academic department of receiving institution (e.g.: LLU, U of R, CSULB, UCR) when setting our curriculum.</w:t>
      </w:r>
    </w:p>
    <w:p w:rsidR="00862DFC" w:rsidRPr="00602C7F" w:rsidRDefault="00862DFC" w:rsidP="00E30CA3">
      <w:pPr>
        <w:numPr>
          <w:ilvl w:val="0"/>
          <w:numId w:val="49"/>
        </w:numPr>
        <w:rPr>
          <w:rFonts w:asciiTheme="minorHAnsi" w:hAnsiTheme="minorHAnsi"/>
          <w:b/>
          <w:sz w:val="24"/>
        </w:rPr>
      </w:pPr>
      <w:r>
        <w:rPr>
          <w:rFonts w:asciiTheme="minorHAnsi" w:hAnsiTheme="minorHAnsi"/>
          <w:sz w:val="24"/>
        </w:rPr>
        <w:t>Expand partnerships with four-</w:t>
      </w:r>
      <w:r w:rsidRPr="00602C7F">
        <w:rPr>
          <w:rFonts w:asciiTheme="minorHAnsi" w:hAnsiTheme="minorHAnsi"/>
          <w:sz w:val="24"/>
        </w:rPr>
        <w:t xml:space="preserve">year </w:t>
      </w:r>
      <w:r>
        <w:rPr>
          <w:rFonts w:asciiTheme="minorHAnsi" w:hAnsiTheme="minorHAnsi"/>
          <w:sz w:val="24"/>
        </w:rPr>
        <w:t>institutions for a university center to increase access for non-traditional students.</w:t>
      </w:r>
    </w:p>
    <w:p w:rsidR="00862DFC" w:rsidRPr="007078A0" w:rsidRDefault="00862DFC" w:rsidP="00E30CA3">
      <w:pPr>
        <w:numPr>
          <w:ilvl w:val="0"/>
          <w:numId w:val="49"/>
        </w:numPr>
        <w:rPr>
          <w:rFonts w:asciiTheme="minorHAnsi" w:hAnsiTheme="minorHAnsi"/>
          <w:b/>
          <w:sz w:val="24"/>
        </w:rPr>
      </w:pPr>
      <w:r>
        <w:rPr>
          <w:rFonts w:asciiTheme="minorHAnsi" w:hAnsiTheme="minorHAnsi"/>
          <w:sz w:val="24"/>
        </w:rPr>
        <w:t>Construct</w:t>
      </w:r>
      <w:r w:rsidRPr="00602C7F">
        <w:rPr>
          <w:rFonts w:asciiTheme="minorHAnsi" w:hAnsiTheme="minorHAnsi"/>
          <w:sz w:val="24"/>
        </w:rPr>
        <w:t xml:space="preserve"> a college village with </w:t>
      </w:r>
      <w:r>
        <w:rPr>
          <w:rFonts w:asciiTheme="minorHAnsi" w:hAnsiTheme="minorHAnsi"/>
          <w:sz w:val="24"/>
        </w:rPr>
        <w:t xml:space="preserve">accessible retail and affordable </w:t>
      </w:r>
      <w:r w:rsidRPr="00602C7F">
        <w:rPr>
          <w:rFonts w:asciiTheme="minorHAnsi" w:hAnsiTheme="minorHAnsi"/>
          <w:sz w:val="24"/>
        </w:rPr>
        <w:t xml:space="preserve">student housing </w:t>
      </w:r>
      <w:r>
        <w:rPr>
          <w:rFonts w:asciiTheme="minorHAnsi" w:hAnsiTheme="minorHAnsi"/>
          <w:sz w:val="24"/>
        </w:rPr>
        <w:t>for international students, v</w:t>
      </w:r>
      <w:r w:rsidRPr="007078A0">
        <w:rPr>
          <w:rFonts w:asciiTheme="minorHAnsi" w:hAnsiTheme="minorHAnsi"/>
          <w:sz w:val="24"/>
        </w:rPr>
        <w:t>eteran</w:t>
      </w:r>
      <w:r>
        <w:rPr>
          <w:rFonts w:asciiTheme="minorHAnsi" w:hAnsiTheme="minorHAnsi"/>
          <w:sz w:val="24"/>
        </w:rPr>
        <w:t xml:space="preserve">s, </w:t>
      </w:r>
      <w:r w:rsidRPr="007078A0">
        <w:rPr>
          <w:rFonts w:asciiTheme="minorHAnsi" w:hAnsiTheme="minorHAnsi"/>
          <w:sz w:val="24"/>
        </w:rPr>
        <w:t>athletes</w:t>
      </w:r>
      <w:r>
        <w:rPr>
          <w:rFonts w:asciiTheme="minorHAnsi" w:hAnsiTheme="minorHAnsi"/>
          <w:sz w:val="24"/>
        </w:rPr>
        <w:t>, single parents, and t</w:t>
      </w:r>
      <w:r w:rsidRPr="007078A0">
        <w:rPr>
          <w:rFonts w:asciiTheme="minorHAnsi" w:hAnsiTheme="minorHAnsi"/>
          <w:sz w:val="24"/>
        </w:rPr>
        <w:t>raditional students</w:t>
      </w:r>
      <w:r>
        <w:rPr>
          <w:rFonts w:asciiTheme="minorHAnsi" w:hAnsiTheme="minorHAnsi"/>
          <w:sz w:val="24"/>
        </w:rPr>
        <w:t>.</w:t>
      </w:r>
    </w:p>
    <w:p w:rsidR="00862DFC" w:rsidRPr="00602C7F" w:rsidRDefault="00862DFC" w:rsidP="00E30CA3">
      <w:pPr>
        <w:numPr>
          <w:ilvl w:val="0"/>
          <w:numId w:val="49"/>
        </w:numPr>
        <w:rPr>
          <w:rFonts w:asciiTheme="minorHAnsi" w:hAnsiTheme="minorHAnsi"/>
          <w:b/>
          <w:sz w:val="24"/>
        </w:rPr>
      </w:pPr>
      <w:r>
        <w:rPr>
          <w:rFonts w:asciiTheme="minorHAnsi" w:hAnsiTheme="minorHAnsi"/>
          <w:sz w:val="24"/>
        </w:rPr>
        <w:t>Build s</w:t>
      </w:r>
      <w:r w:rsidRPr="00602C7F">
        <w:rPr>
          <w:rFonts w:asciiTheme="minorHAnsi" w:hAnsiTheme="minorHAnsi"/>
          <w:sz w:val="24"/>
        </w:rPr>
        <w:t xml:space="preserve">tronger ties to community for </w:t>
      </w:r>
      <w:r>
        <w:rPr>
          <w:rFonts w:asciiTheme="minorHAnsi" w:hAnsiTheme="minorHAnsi"/>
          <w:sz w:val="24"/>
        </w:rPr>
        <w:t>public relations</w:t>
      </w:r>
      <w:r w:rsidRPr="00602C7F">
        <w:rPr>
          <w:rFonts w:asciiTheme="minorHAnsi" w:hAnsiTheme="minorHAnsi"/>
          <w:sz w:val="24"/>
        </w:rPr>
        <w:t xml:space="preserve"> </w:t>
      </w:r>
      <w:r>
        <w:rPr>
          <w:rFonts w:asciiTheme="minorHAnsi" w:hAnsiTheme="minorHAnsi"/>
          <w:sz w:val="24"/>
        </w:rPr>
        <w:t>and fundraising efforts where businesses and employers see the success of the college and its students as central to the success of the businesses and the community.</w:t>
      </w:r>
    </w:p>
    <w:p w:rsidR="00862DFC" w:rsidRPr="00602C7F" w:rsidRDefault="00862DFC" w:rsidP="00E30CA3">
      <w:pPr>
        <w:numPr>
          <w:ilvl w:val="0"/>
          <w:numId w:val="49"/>
        </w:numPr>
        <w:rPr>
          <w:rFonts w:asciiTheme="minorHAnsi" w:hAnsiTheme="minorHAnsi"/>
          <w:b/>
          <w:sz w:val="24"/>
        </w:rPr>
      </w:pPr>
      <w:r>
        <w:rPr>
          <w:rFonts w:asciiTheme="minorHAnsi" w:hAnsiTheme="minorHAnsi"/>
          <w:sz w:val="24"/>
        </w:rPr>
        <w:t>Design</w:t>
      </w:r>
      <w:r w:rsidRPr="00602C7F">
        <w:rPr>
          <w:rFonts w:asciiTheme="minorHAnsi" w:hAnsiTheme="minorHAnsi"/>
          <w:sz w:val="24"/>
        </w:rPr>
        <w:t xml:space="preserve"> a space on campus where community members, businesses, </w:t>
      </w:r>
      <w:r>
        <w:rPr>
          <w:rFonts w:asciiTheme="minorHAnsi" w:hAnsiTheme="minorHAnsi"/>
          <w:sz w:val="24"/>
        </w:rPr>
        <w:t>and</w:t>
      </w:r>
      <w:r w:rsidRPr="00602C7F">
        <w:rPr>
          <w:rFonts w:asciiTheme="minorHAnsi" w:hAnsiTheme="minorHAnsi"/>
          <w:sz w:val="24"/>
        </w:rPr>
        <w:t xml:space="preserve"> donors can engage with students.</w:t>
      </w:r>
    </w:p>
    <w:p w:rsidR="00AD1889" w:rsidRDefault="00136838">
      <w:pPr>
        <w:rPr>
          <w:rFonts w:asciiTheme="minorHAnsi" w:eastAsia="Arial" w:hAnsiTheme="minorHAnsi" w:cs="Arial"/>
          <w:b/>
          <w:color w:val="00823B"/>
          <w:sz w:val="24"/>
        </w:rPr>
      </w:pPr>
      <w:r w:rsidRPr="00E229B3">
        <w:rPr>
          <w:rFonts w:asciiTheme="minorHAnsi" w:eastAsia="Arial" w:hAnsiTheme="minorHAnsi" w:cs="Arial"/>
          <w:b/>
          <w:color w:val="00823B"/>
          <w:sz w:val="24"/>
        </w:rPr>
        <w:t>Improved Pathways from High School to College</w:t>
      </w:r>
    </w:p>
    <w:p w:rsidR="00E229B3" w:rsidRPr="00E229B3" w:rsidRDefault="00E229B3" w:rsidP="00E229B3">
      <w:pPr>
        <w:rPr>
          <w:rFonts w:asciiTheme="minorHAnsi" w:eastAsia="Arial" w:hAnsiTheme="minorHAnsi" w:cs="Arial"/>
          <w:color w:val="auto"/>
          <w:sz w:val="24"/>
        </w:rPr>
      </w:pPr>
      <w:r w:rsidRPr="00E229B3">
        <w:rPr>
          <w:rFonts w:asciiTheme="minorHAnsi" w:eastAsia="Arial" w:hAnsiTheme="minorHAnsi" w:cs="Arial"/>
          <w:color w:val="auto"/>
          <w:sz w:val="24"/>
        </w:rPr>
        <w:t>While this theme focuses on high schools and the transition of students to college, it has implications for student access, success, outreach to the community</w:t>
      </w:r>
      <w:r w:rsidR="00CA18FE">
        <w:rPr>
          <w:rFonts w:asciiTheme="minorHAnsi" w:eastAsia="Arial" w:hAnsiTheme="minorHAnsi" w:cs="Arial"/>
          <w:color w:val="auto"/>
          <w:sz w:val="24"/>
        </w:rPr>
        <w:t>,</w:t>
      </w:r>
      <w:r w:rsidRPr="00E229B3">
        <w:rPr>
          <w:rFonts w:asciiTheme="minorHAnsi" w:eastAsia="Arial" w:hAnsiTheme="minorHAnsi" w:cs="Arial"/>
          <w:color w:val="auto"/>
          <w:sz w:val="24"/>
        </w:rPr>
        <w:t xml:space="preserve"> and the creation of new programs. Collaborative engagement of community college personnel with high school administrators, faculty and counselors has the potential to dramatically improve success at the college as well as high school</w:t>
      </w:r>
      <w:r w:rsidR="00CA18FE">
        <w:rPr>
          <w:rFonts w:asciiTheme="minorHAnsi" w:eastAsia="Arial" w:hAnsiTheme="minorHAnsi" w:cs="Arial"/>
          <w:color w:val="auto"/>
          <w:sz w:val="24"/>
        </w:rPr>
        <w:t xml:space="preserve"> levels</w:t>
      </w:r>
      <w:r w:rsidRPr="00E229B3">
        <w:rPr>
          <w:rFonts w:asciiTheme="minorHAnsi" w:eastAsia="Arial" w:hAnsiTheme="minorHAnsi" w:cs="Arial"/>
          <w:color w:val="auto"/>
          <w:sz w:val="24"/>
        </w:rPr>
        <w:t xml:space="preserve">. Articulation of curriculum between feeder high schools and community colleges is a direct way of addressing student readiness and delineating levels of competence. </w:t>
      </w:r>
    </w:p>
    <w:p w:rsidR="00E229B3" w:rsidRPr="00E229B3" w:rsidRDefault="00E229B3" w:rsidP="00E229B3">
      <w:pPr>
        <w:rPr>
          <w:rFonts w:asciiTheme="minorHAnsi" w:eastAsia="Arial" w:hAnsiTheme="minorHAnsi" w:cs="Arial"/>
          <w:color w:val="auto"/>
          <w:sz w:val="24"/>
        </w:rPr>
      </w:pPr>
      <w:r w:rsidRPr="00E229B3">
        <w:rPr>
          <w:rFonts w:asciiTheme="minorHAnsi" w:eastAsia="Arial" w:hAnsiTheme="minorHAnsi" w:cs="Arial"/>
          <w:color w:val="auto"/>
          <w:sz w:val="24"/>
        </w:rPr>
        <w:t>Engagement in learni</w:t>
      </w:r>
      <w:r w:rsidR="00CA18FE">
        <w:rPr>
          <w:rFonts w:asciiTheme="minorHAnsi" w:eastAsia="Arial" w:hAnsiTheme="minorHAnsi" w:cs="Arial"/>
          <w:color w:val="auto"/>
          <w:sz w:val="24"/>
        </w:rPr>
        <w:t>ng is a major challenge from middle</w:t>
      </w:r>
      <w:r w:rsidRPr="00E229B3">
        <w:rPr>
          <w:rFonts w:asciiTheme="minorHAnsi" w:eastAsia="Arial" w:hAnsiTheme="minorHAnsi" w:cs="Arial"/>
          <w:color w:val="auto"/>
          <w:sz w:val="24"/>
        </w:rPr>
        <w:t xml:space="preserve"> through high school. A number of the activities identified below address the need for engagement in learning, with establishing a clear path to success a</w:t>
      </w:r>
      <w:r w:rsidR="00CA18FE">
        <w:rPr>
          <w:rFonts w:asciiTheme="minorHAnsi" w:eastAsia="Arial" w:hAnsiTheme="minorHAnsi" w:cs="Arial"/>
          <w:color w:val="auto"/>
          <w:sz w:val="24"/>
        </w:rPr>
        <w:t>s a</w:t>
      </w:r>
      <w:r w:rsidRPr="00E229B3">
        <w:rPr>
          <w:rFonts w:asciiTheme="minorHAnsi" w:eastAsia="Arial" w:hAnsiTheme="minorHAnsi" w:cs="Arial"/>
          <w:color w:val="auto"/>
          <w:sz w:val="24"/>
        </w:rPr>
        <w:t xml:space="preserve"> major motivating factor for students. Dual enrollment is an option that promises a shorter timeline to completion. In CTE, for example, dual enrollment brings together high school, college and employers together to provide CTE pathways. Students who see a payoff in a reasonable amount of time are more likely to persist. Middle </w:t>
      </w:r>
      <w:r w:rsidR="00CA18FE">
        <w:rPr>
          <w:rFonts w:asciiTheme="minorHAnsi" w:eastAsia="Arial" w:hAnsiTheme="minorHAnsi" w:cs="Arial"/>
          <w:color w:val="auto"/>
          <w:sz w:val="24"/>
        </w:rPr>
        <w:t>s</w:t>
      </w:r>
      <w:r w:rsidRPr="00E229B3">
        <w:rPr>
          <w:rFonts w:asciiTheme="minorHAnsi" w:eastAsia="Arial" w:hAnsiTheme="minorHAnsi" w:cs="Arial"/>
          <w:color w:val="auto"/>
          <w:sz w:val="24"/>
        </w:rPr>
        <w:t>chool is an option based on the finding that public school students make choices in middle school that are likely to determine their later success or failure in college courses, particularly in math. Students and families who are unfamiliar with college requirements and/or college culture need opportunities for early awareness of curriculum choices. Middle College and other early awareness actions address this need. Middle College is an initiative that has been considered at CHC</w:t>
      </w:r>
      <w:r w:rsidR="00CA18FE">
        <w:rPr>
          <w:rFonts w:asciiTheme="minorHAnsi" w:eastAsia="Arial" w:hAnsiTheme="minorHAnsi" w:cs="Arial"/>
          <w:color w:val="auto"/>
          <w:sz w:val="24"/>
        </w:rPr>
        <w:t xml:space="preserve">. Work with service area </w:t>
      </w:r>
      <w:r w:rsidRPr="00E229B3">
        <w:rPr>
          <w:rFonts w:asciiTheme="minorHAnsi" w:eastAsia="Arial" w:hAnsiTheme="minorHAnsi" w:cs="Arial"/>
          <w:color w:val="auto"/>
          <w:sz w:val="24"/>
        </w:rPr>
        <w:t>public schools is a key strategy to advance student success.</w:t>
      </w:r>
    </w:p>
    <w:p w:rsidR="00E229B3" w:rsidRPr="00E229B3" w:rsidRDefault="00E229B3" w:rsidP="00E229B3">
      <w:pPr>
        <w:pStyle w:val="ListParagraph"/>
        <w:numPr>
          <w:ilvl w:val="0"/>
          <w:numId w:val="70"/>
        </w:numPr>
        <w:spacing w:line="256" w:lineRule="auto"/>
        <w:ind w:left="1080"/>
        <w:rPr>
          <w:rFonts w:asciiTheme="minorHAnsi" w:eastAsia="Arial" w:hAnsiTheme="minorHAnsi" w:cs="Arial"/>
          <w:color w:val="auto"/>
          <w:sz w:val="24"/>
        </w:rPr>
      </w:pPr>
      <w:r w:rsidRPr="00E229B3">
        <w:rPr>
          <w:rFonts w:asciiTheme="minorHAnsi" w:eastAsia="Arial" w:hAnsiTheme="minorHAnsi" w:cs="Arial"/>
          <w:color w:val="auto"/>
          <w:sz w:val="24"/>
        </w:rPr>
        <w:lastRenderedPageBreak/>
        <w:t>Align math, English and Basic Skills curriculum with local high schools for better placement of students into college-level courses.</w:t>
      </w:r>
    </w:p>
    <w:p w:rsidR="00862DFC" w:rsidRPr="00602C7F" w:rsidRDefault="00862DFC" w:rsidP="00E30CA3">
      <w:pPr>
        <w:numPr>
          <w:ilvl w:val="0"/>
          <w:numId w:val="49"/>
        </w:numPr>
        <w:rPr>
          <w:rFonts w:asciiTheme="minorHAnsi" w:hAnsiTheme="minorHAnsi"/>
          <w:b/>
          <w:sz w:val="24"/>
        </w:rPr>
      </w:pPr>
      <w:r w:rsidRPr="00602C7F">
        <w:rPr>
          <w:rFonts w:asciiTheme="minorHAnsi" w:hAnsiTheme="minorHAnsi"/>
          <w:sz w:val="24"/>
        </w:rPr>
        <w:t>Develop meta-majors</w:t>
      </w:r>
      <w:r>
        <w:rPr>
          <w:rFonts w:asciiTheme="minorHAnsi" w:hAnsiTheme="minorHAnsi"/>
          <w:sz w:val="24"/>
        </w:rPr>
        <w:t xml:space="preserve"> </w:t>
      </w:r>
      <w:r w:rsidRPr="00602C7F">
        <w:rPr>
          <w:rFonts w:asciiTheme="minorHAnsi" w:hAnsiTheme="minorHAnsi"/>
          <w:sz w:val="24"/>
        </w:rPr>
        <w:t xml:space="preserve">to </w:t>
      </w:r>
      <w:r>
        <w:rPr>
          <w:rFonts w:asciiTheme="minorHAnsi" w:hAnsiTheme="minorHAnsi"/>
          <w:sz w:val="24"/>
        </w:rPr>
        <w:t xml:space="preserve">empower exploration and </w:t>
      </w:r>
      <w:r w:rsidRPr="00602C7F">
        <w:rPr>
          <w:rFonts w:asciiTheme="minorHAnsi" w:hAnsiTheme="minorHAnsi"/>
          <w:sz w:val="24"/>
        </w:rPr>
        <w:t>guide student</w:t>
      </w:r>
      <w:r>
        <w:rPr>
          <w:rFonts w:asciiTheme="minorHAnsi" w:hAnsiTheme="minorHAnsi"/>
          <w:sz w:val="24"/>
        </w:rPr>
        <w:t>s</w:t>
      </w:r>
      <w:r w:rsidRPr="00602C7F">
        <w:rPr>
          <w:rFonts w:asciiTheme="minorHAnsi" w:hAnsiTheme="minorHAnsi"/>
          <w:sz w:val="24"/>
        </w:rPr>
        <w:t xml:space="preserve"> </w:t>
      </w:r>
      <w:r>
        <w:rPr>
          <w:rFonts w:asciiTheme="minorHAnsi" w:hAnsiTheme="minorHAnsi"/>
          <w:sz w:val="24"/>
        </w:rPr>
        <w:t>on their journey</w:t>
      </w:r>
      <w:r w:rsidRPr="00602C7F">
        <w:rPr>
          <w:rFonts w:asciiTheme="minorHAnsi" w:hAnsiTheme="minorHAnsi"/>
          <w:sz w:val="24"/>
        </w:rPr>
        <w:t xml:space="preserve"> in </w:t>
      </w:r>
      <w:r>
        <w:rPr>
          <w:rFonts w:asciiTheme="minorHAnsi" w:hAnsiTheme="minorHAnsi"/>
          <w:sz w:val="24"/>
        </w:rPr>
        <w:t xml:space="preserve">selecting a </w:t>
      </w:r>
      <w:r w:rsidRPr="00602C7F">
        <w:rPr>
          <w:rFonts w:asciiTheme="minorHAnsi" w:hAnsiTheme="minorHAnsi"/>
          <w:sz w:val="24"/>
        </w:rPr>
        <w:t xml:space="preserve">college major. </w:t>
      </w:r>
    </w:p>
    <w:p w:rsidR="00602C7F" w:rsidRPr="00602C7F" w:rsidRDefault="00862DFC" w:rsidP="00E30CA3">
      <w:pPr>
        <w:numPr>
          <w:ilvl w:val="0"/>
          <w:numId w:val="49"/>
        </w:numPr>
        <w:rPr>
          <w:rFonts w:asciiTheme="minorHAnsi" w:hAnsiTheme="minorHAnsi"/>
          <w:b/>
          <w:sz w:val="24"/>
        </w:rPr>
      </w:pPr>
      <w:r>
        <w:rPr>
          <w:rFonts w:asciiTheme="minorHAnsi" w:hAnsiTheme="minorHAnsi"/>
          <w:sz w:val="24"/>
        </w:rPr>
        <w:t>We must build deep and</w:t>
      </w:r>
      <w:r w:rsidR="00602C7F" w:rsidRPr="00602C7F">
        <w:rPr>
          <w:rFonts w:asciiTheme="minorHAnsi" w:hAnsiTheme="minorHAnsi"/>
          <w:sz w:val="24"/>
        </w:rPr>
        <w:t xml:space="preserve"> meaningful relationships with </w:t>
      </w:r>
      <w:r w:rsidR="00602C7F" w:rsidRPr="002817A1">
        <w:rPr>
          <w:rFonts w:asciiTheme="minorHAnsi" w:hAnsiTheme="minorHAnsi"/>
          <w:sz w:val="24"/>
        </w:rPr>
        <w:t>every</w:t>
      </w:r>
      <w:r w:rsidR="002817A1" w:rsidRPr="002817A1">
        <w:rPr>
          <w:rFonts w:asciiTheme="minorHAnsi" w:hAnsiTheme="minorHAnsi"/>
          <w:sz w:val="24"/>
        </w:rPr>
        <w:t xml:space="preserve"> h</w:t>
      </w:r>
      <w:r w:rsidR="002817A1">
        <w:rPr>
          <w:rFonts w:asciiTheme="minorHAnsi" w:hAnsiTheme="minorHAnsi"/>
          <w:sz w:val="24"/>
        </w:rPr>
        <w:t xml:space="preserve">igh school in our region using </w:t>
      </w:r>
      <w:r w:rsidR="00602C7F" w:rsidRPr="00602C7F">
        <w:rPr>
          <w:rFonts w:asciiTheme="minorHAnsi" w:hAnsiTheme="minorHAnsi"/>
          <w:sz w:val="24"/>
        </w:rPr>
        <w:t>dual enrollment partnership</w:t>
      </w:r>
      <w:r w:rsidR="002817A1">
        <w:rPr>
          <w:rFonts w:asciiTheme="minorHAnsi" w:hAnsiTheme="minorHAnsi"/>
          <w:sz w:val="24"/>
        </w:rPr>
        <w:t>s</w:t>
      </w:r>
      <w:r>
        <w:rPr>
          <w:rFonts w:asciiTheme="minorHAnsi" w:hAnsiTheme="minorHAnsi"/>
          <w:sz w:val="24"/>
        </w:rPr>
        <w:t xml:space="preserve"> that serve the needs of students</w:t>
      </w:r>
      <w:r w:rsidR="00602C7F" w:rsidRPr="00602C7F">
        <w:rPr>
          <w:rFonts w:asciiTheme="minorHAnsi" w:hAnsiTheme="minorHAnsi"/>
          <w:sz w:val="24"/>
        </w:rPr>
        <w:t>.</w:t>
      </w:r>
    </w:p>
    <w:p w:rsidR="00602C7F" w:rsidRPr="00602C7F" w:rsidRDefault="00602C7F" w:rsidP="00E30CA3">
      <w:pPr>
        <w:numPr>
          <w:ilvl w:val="0"/>
          <w:numId w:val="49"/>
        </w:numPr>
        <w:rPr>
          <w:rFonts w:asciiTheme="minorHAnsi" w:hAnsiTheme="minorHAnsi"/>
          <w:b/>
          <w:sz w:val="24"/>
        </w:rPr>
      </w:pPr>
      <w:r w:rsidRPr="00602C7F">
        <w:rPr>
          <w:rFonts w:asciiTheme="minorHAnsi" w:hAnsiTheme="minorHAnsi"/>
          <w:sz w:val="24"/>
        </w:rPr>
        <w:t xml:space="preserve">Develop a culture of connection </w:t>
      </w:r>
      <w:r w:rsidR="00862DFC">
        <w:rPr>
          <w:rFonts w:asciiTheme="minorHAnsi" w:hAnsiTheme="minorHAnsi"/>
          <w:sz w:val="24"/>
        </w:rPr>
        <w:t xml:space="preserve">and deep-rooted relationships </w:t>
      </w:r>
      <w:r w:rsidRPr="00602C7F">
        <w:rPr>
          <w:rFonts w:asciiTheme="minorHAnsi" w:hAnsiTheme="minorHAnsi"/>
          <w:sz w:val="24"/>
        </w:rPr>
        <w:t xml:space="preserve">with </w:t>
      </w:r>
      <w:r w:rsidR="002817A1">
        <w:rPr>
          <w:rFonts w:asciiTheme="minorHAnsi" w:hAnsiTheme="minorHAnsi"/>
          <w:sz w:val="24"/>
        </w:rPr>
        <w:t>high school</w:t>
      </w:r>
      <w:r w:rsidRPr="00602C7F">
        <w:rPr>
          <w:rFonts w:asciiTheme="minorHAnsi" w:hAnsiTheme="minorHAnsi"/>
          <w:sz w:val="24"/>
        </w:rPr>
        <w:t xml:space="preserve"> counselors</w:t>
      </w:r>
      <w:r w:rsidR="00862DFC">
        <w:rPr>
          <w:rFonts w:asciiTheme="minorHAnsi" w:hAnsiTheme="minorHAnsi"/>
          <w:sz w:val="24"/>
        </w:rPr>
        <w:t>, so Crafton Hills College is seen as a viable, important, and select choice for students within our service area, especially those from traditionally underserved populations</w:t>
      </w:r>
      <w:r w:rsidRPr="00602C7F">
        <w:rPr>
          <w:rFonts w:asciiTheme="minorHAnsi" w:hAnsiTheme="minorHAnsi"/>
          <w:sz w:val="24"/>
        </w:rPr>
        <w:t>.</w:t>
      </w:r>
    </w:p>
    <w:p w:rsidR="00862DFC" w:rsidRPr="00602C7F" w:rsidRDefault="00862DFC" w:rsidP="00E30CA3">
      <w:pPr>
        <w:numPr>
          <w:ilvl w:val="0"/>
          <w:numId w:val="49"/>
        </w:numPr>
        <w:rPr>
          <w:rFonts w:asciiTheme="minorHAnsi" w:hAnsiTheme="minorHAnsi"/>
          <w:b/>
          <w:sz w:val="24"/>
        </w:rPr>
      </w:pPr>
      <w:r>
        <w:rPr>
          <w:rFonts w:asciiTheme="minorHAnsi" w:hAnsiTheme="minorHAnsi"/>
          <w:sz w:val="24"/>
        </w:rPr>
        <w:t>Enlist</w:t>
      </w:r>
      <w:r w:rsidRPr="00602C7F">
        <w:rPr>
          <w:rFonts w:asciiTheme="minorHAnsi" w:hAnsiTheme="minorHAnsi"/>
          <w:sz w:val="24"/>
        </w:rPr>
        <w:t xml:space="preserve"> alumni </w:t>
      </w:r>
      <w:r>
        <w:rPr>
          <w:rFonts w:asciiTheme="minorHAnsi" w:hAnsiTheme="minorHAnsi"/>
          <w:sz w:val="24"/>
        </w:rPr>
        <w:t xml:space="preserve">to return to their </w:t>
      </w:r>
      <w:r w:rsidRPr="00602C7F">
        <w:rPr>
          <w:rFonts w:asciiTheme="minorHAnsi" w:hAnsiTheme="minorHAnsi"/>
          <w:sz w:val="24"/>
        </w:rPr>
        <w:t xml:space="preserve">local high schools </w:t>
      </w:r>
      <w:r>
        <w:rPr>
          <w:rFonts w:asciiTheme="minorHAnsi" w:hAnsiTheme="minorHAnsi"/>
          <w:sz w:val="24"/>
        </w:rPr>
        <w:t>and pitch Crafton Hills College as a viable, important, and select choice.</w:t>
      </w:r>
    </w:p>
    <w:p w:rsidR="00602C7F" w:rsidRPr="00602C7F" w:rsidRDefault="000D7D4A" w:rsidP="00E30CA3">
      <w:pPr>
        <w:numPr>
          <w:ilvl w:val="0"/>
          <w:numId w:val="49"/>
        </w:numPr>
        <w:rPr>
          <w:rFonts w:asciiTheme="minorHAnsi" w:hAnsiTheme="minorHAnsi"/>
          <w:b/>
          <w:sz w:val="24"/>
        </w:rPr>
      </w:pPr>
      <w:r>
        <w:rPr>
          <w:rFonts w:asciiTheme="minorHAnsi" w:hAnsiTheme="minorHAnsi"/>
          <w:sz w:val="24"/>
        </w:rPr>
        <w:t>Expand outreach</w:t>
      </w:r>
      <w:r w:rsidR="002817A1">
        <w:rPr>
          <w:rFonts w:asciiTheme="minorHAnsi" w:hAnsiTheme="minorHAnsi"/>
          <w:sz w:val="24"/>
        </w:rPr>
        <w:t xml:space="preserve"> to local m</w:t>
      </w:r>
      <w:r w:rsidR="00862DFC">
        <w:rPr>
          <w:rFonts w:asciiTheme="minorHAnsi" w:hAnsiTheme="minorHAnsi"/>
          <w:sz w:val="24"/>
        </w:rPr>
        <w:t>iddle and</w:t>
      </w:r>
      <w:r w:rsidR="002817A1">
        <w:rPr>
          <w:rFonts w:asciiTheme="minorHAnsi" w:hAnsiTheme="minorHAnsi"/>
          <w:sz w:val="24"/>
        </w:rPr>
        <w:t xml:space="preserve"> e</w:t>
      </w:r>
      <w:r w:rsidR="00602C7F" w:rsidRPr="00602C7F">
        <w:rPr>
          <w:rFonts w:asciiTheme="minorHAnsi" w:hAnsiTheme="minorHAnsi"/>
          <w:sz w:val="24"/>
        </w:rPr>
        <w:t>lementary school</w:t>
      </w:r>
      <w:r w:rsidR="00862DFC">
        <w:rPr>
          <w:rFonts w:asciiTheme="minorHAnsi" w:hAnsiTheme="minorHAnsi"/>
          <w:sz w:val="24"/>
        </w:rPr>
        <w:t xml:space="preserve"> students</w:t>
      </w:r>
      <w:r w:rsidR="00602C7F" w:rsidRPr="00602C7F">
        <w:rPr>
          <w:rFonts w:asciiTheme="minorHAnsi" w:hAnsiTheme="minorHAnsi"/>
          <w:sz w:val="24"/>
        </w:rPr>
        <w:t xml:space="preserve"> to </w:t>
      </w:r>
      <w:r w:rsidR="00862DFC">
        <w:rPr>
          <w:rFonts w:asciiTheme="minorHAnsi" w:hAnsiTheme="minorHAnsi"/>
          <w:sz w:val="24"/>
        </w:rPr>
        <w:t>provide</w:t>
      </w:r>
      <w:r w:rsidR="00602C7F" w:rsidRPr="00602C7F">
        <w:rPr>
          <w:rFonts w:asciiTheme="minorHAnsi" w:hAnsiTheme="minorHAnsi"/>
          <w:sz w:val="24"/>
        </w:rPr>
        <w:t xml:space="preserve"> p</w:t>
      </w:r>
      <w:r w:rsidR="002817A1">
        <w:rPr>
          <w:rFonts w:asciiTheme="minorHAnsi" w:hAnsiTheme="minorHAnsi"/>
          <w:sz w:val="24"/>
        </w:rPr>
        <w:t>ositive first impressions of Crafton Hills College and build a college-going culture</w:t>
      </w:r>
      <w:r w:rsidR="00862DFC">
        <w:rPr>
          <w:rFonts w:asciiTheme="minorHAnsi" w:hAnsiTheme="minorHAnsi"/>
          <w:sz w:val="24"/>
        </w:rPr>
        <w:t xml:space="preserve"> to traditionally underserved populations</w:t>
      </w:r>
      <w:r w:rsidR="002817A1">
        <w:rPr>
          <w:rFonts w:asciiTheme="minorHAnsi" w:hAnsiTheme="minorHAnsi"/>
          <w:sz w:val="24"/>
        </w:rPr>
        <w:t>.</w:t>
      </w:r>
    </w:p>
    <w:p w:rsidR="00602C7F" w:rsidRPr="00CA18FE" w:rsidRDefault="00602C7F" w:rsidP="00E30CA3">
      <w:pPr>
        <w:numPr>
          <w:ilvl w:val="0"/>
          <w:numId w:val="49"/>
        </w:numPr>
        <w:rPr>
          <w:rFonts w:asciiTheme="minorHAnsi" w:hAnsiTheme="minorHAnsi"/>
          <w:b/>
          <w:sz w:val="24"/>
        </w:rPr>
      </w:pPr>
      <w:r w:rsidRPr="00602C7F">
        <w:rPr>
          <w:rFonts w:asciiTheme="minorHAnsi" w:hAnsiTheme="minorHAnsi"/>
          <w:sz w:val="24"/>
        </w:rPr>
        <w:t>Invite mor</w:t>
      </w:r>
      <w:r w:rsidR="002817A1">
        <w:rPr>
          <w:rFonts w:asciiTheme="minorHAnsi" w:hAnsiTheme="minorHAnsi"/>
          <w:sz w:val="24"/>
        </w:rPr>
        <w:t>e elementary s</w:t>
      </w:r>
      <w:r w:rsidR="00862DFC">
        <w:rPr>
          <w:rFonts w:asciiTheme="minorHAnsi" w:hAnsiTheme="minorHAnsi"/>
          <w:sz w:val="24"/>
        </w:rPr>
        <w:t>chool students</w:t>
      </w:r>
      <w:r w:rsidR="002817A1">
        <w:rPr>
          <w:rFonts w:asciiTheme="minorHAnsi" w:hAnsiTheme="minorHAnsi"/>
          <w:sz w:val="24"/>
        </w:rPr>
        <w:t xml:space="preserve"> to campus to explore academic programs and life on a college campus</w:t>
      </w:r>
      <w:r w:rsidR="00862DFC">
        <w:rPr>
          <w:rFonts w:asciiTheme="minorHAnsi" w:hAnsiTheme="minorHAnsi"/>
          <w:sz w:val="24"/>
        </w:rPr>
        <w:t>.</w:t>
      </w:r>
    </w:p>
    <w:p w:rsidR="00CA18FE" w:rsidRPr="00602C7F" w:rsidRDefault="00CA18FE" w:rsidP="00E30CA3">
      <w:pPr>
        <w:numPr>
          <w:ilvl w:val="0"/>
          <w:numId w:val="49"/>
        </w:numPr>
        <w:rPr>
          <w:rFonts w:asciiTheme="minorHAnsi" w:hAnsiTheme="minorHAnsi"/>
          <w:b/>
          <w:sz w:val="24"/>
        </w:rPr>
      </w:pPr>
      <w:r>
        <w:rPr>
          <w:rFonts w:asciiTheme="minorHAnsi" w:hAnsiTheme="minorHAnsi"/>
          <w:sz w:val="24"/>
        </w:rPr>
        <w:t>Purse the feasibility of implementing a Middle College program.</w:t>
      </w:r>
    </w:p>
    <w:p w:rsidR="00AD1889" w:rsidRPr="00CA18FE" w:rsidRDefault="00136838">
      <w:pPr>
        <w:rPr>
          <w:rFonts w:asciiTheme="minorHAnsi" w:eastAsia="Arial" w:hAnsiTheme="minorHAnsi" w:cs="Arial"/>
          <w:b/>
          <w:color w:val="00823B"/>
          <w:sz w:val="24"/>
        </w:rPr>
      </w:pPr>
      <w:r w:rsidRPr="00CA18FE">
        <w:rPr>
          <w:rFonts w:asciiTheme="minorHAnsi" w:eastAsia="Arial" w:hAnsiTheme="minorHAnsi" w:cs="Arial"/>
          <w:b/>
          <w:color w:val="00823B"/>
          <w:sz w:val="24"/>
        </w:rPr>
        <w:t>Student Readiness &amp; Preparedness</w:t>
      </w:r>
    </w:p>
    <w:p w:rsidR="00AE60B4" w:rsidRPr="00AE60B4" w:rsidRDefault="00AE60B4" w:rsidP="00AE60B4">
      <w:pPr>
        <w:rPr>
          <w:rFonts w:asciiTheme="minorHAnsi" w:eastAsia="Arial" w:hAnsiTheme="minorHAnsi" w:cs="Arial"/>
          <w:color w:val="auto"/>
          <w:sz w:val="24"/>
        </w:rPr>
      </w:pPr>
      <w:r w:rsidRPr="00AE60B4">
        <w:rPr>
          <w:rFonts w:asciiTheme="minorHAnsi" w:eastAsia="Arial" w:hAnsiTheme="minorHAnsi" w:cs="Arial"/>
          <w:color w:val="auto"/>
          <w:sz w:val="24"/>
        </w:rPr>
        <w:t xml:space="preserve">Through its Strategic Plan, the College shows that it is keenly aware of the desired academic improvements it wishes to undertake. </w:t>
      </w:r>
      <w:r w:rsidR="002D51B0">
        <w:rPr>
          <w:rFonts w:asciiTheme="minorHAnsi" w:eastAsia="Arial" w:hAnsiTheme="minorHAnsi" w:cs="Arial"/>
          <w:color w:val="auto"/>
          <w:sz w:val="24"/>
        </w:rPr>
        <w:t xml:space="preserve"> What the College</w:t>
      </w:r>
      <w:r w:rsidRPr="00AE60B4">
        <w:rPr>
          <w:rFonts w:asciiTheme="minorHAnsi" w:eastAsia="Arial" w:hAnsiTheme="minorHAnsi" w:cs="Arial"/>
          <w:color w:val="auto"/>
          <w:sz w:val="24"/>
        </w:rPr>
        <w:t xml:space="preserve"> proposes is in line with State</w:t>
      </w:r>
      <w:r w:rsidR="002D51B0">
        <w:rPr>
          <w:rFonts w:asciiTheme="minorHAnsi" w:eastAsia="Arial" w:hAnsiTheme="minorHAnsi" w:cs="Arial"/>
          <w:color w:val="auto"/>
          <w:sz w:val="24"/>
        </w:rPr>
        <w:t>-wide</w:t>
      </w:r>
      <w:r w:rsidRPr="00AE60B4">
        <w:rPr>
          <w:rFonts w:asciiTheme="minorHAnsi" w:eastAsia="Arial" w:hAnsiTheme="minorHAnsi" w:cs="Arial"/>
          <w:color w:val="auto"/>
          <w:sz w:val="24"/>
        </w:rPr>
        <w:t xml:space="preserve"> and District goals and priorities as well as national studies. Scans of the internal and external environments of the College and interviews with College personnel support the choices of actions to address student preparation. A number of the items for action address course placement and alignment. Others address the need for classroom support.  A third category addresses issues of cultural sensitivity of students whose backgrounds require active efforts to make potential students and entering students at home at CHC. Many Hispanic students and students who are entering college as first generation enrollees in higher education are in particular need of support. Progress can be monitored through college evaluation procedures and will be reflected in QEIs.</w:t>
      </w:r>
    </w:p>
    <w:p w:rsidR="000D7D4A" w:rsidRPr="00602C7F" w:rsidRDefault="000D7D4A" w:rsidP="00E30CA3">
      <w:pPr>
        <w:numPr>
          <w:ilvl w:val="0"/>
          <w:numId w:val="49"/>
        </w:numPr>
        <w:rPr>
          <w:rFonts w:asciiTheme="minorHAnsi" w:hAnsiTheme="minorHAnsi"/>
          <w:b/>
          <w:sz w:val="24"/>
        </w:rPr>
      </w:pPr>
      <w:r>
        <w:rPr>
          <w:rFonts w:asciiTheme="minorHAnsi" w:hAnsiTheme="minorHAnsi"/>
          <w:sz w:val="24"/>
        </w:rPr>
        <w:t>Equitize Crafton Hills College by building an institutional mindfulness around student equity in access and opportunity for success.</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Purposefully serve more Latino/</w:t>
      </w:r>
      <w:proofErr w:type="gramStart"/>
      <w:r w:rsidRPr="00AE60B4">
        <w:rPr>
          <w:rFonts w:asciiTheme="minorHAnsi" w:hAnsiTheme="minorHAnsi"/>
          <w:sz w:val="24"/>
        </w:rPr>
        <w:t>a students</w:t>
      </w:r>
      <w:proofErr w:type="gramEnd"/>
      <w:r w:rsidRPr="00AE60B4">
        <w:rPr>
          <w:rFonts w:asciiTheme="minorHAnsi" w:hAnsiTheme="minorHAnsi"/>
          <w:sz w:val="24"/>
        </w:rPr>
        <w:t xml:space="preserve"> to keep pace with growth of Latino/a populations in our service area.</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lastRenderedPageBreak/>
        <w:t>Expand SOA</w:t>
      </w:r>
      <w:r w:rsidRPr="00AE60B4">
        <w:rPr>
          <w:rFonts w:asciiTheme="minorHAnsi" w:hAnsiTheme="minorHAnsi"/>
          <w:sz w:val="24"/>
          <w:vertAlign w:val="superscript"/>
        </w:rPr>
        <w:t>3</w:t>
      </w:r>
      <w:r w:rsidRPr="00AE60B4">
        <w:rPr>
          <w:rFonts w:asciiTheme="minorHAnsi" w:hAnsiTheme="minorHAnsi"/>
          <w:sz w:val="24"/>
        </w:rPr>
        <w:t>R to reach students in our service area who may otherwise not consider going to college.</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Develop early outreach programs to high school, middle school, and elementary students and their parents to increase college-going culture to traditionally underserved populations.</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Implement common assessment and multiple measures, and use additional multiple measures to place students into higher-level math &amp; English courses.</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Alignment of math &amp; English with local high school for better placement of students into college-level courses</w:t>
      </w:r>
    </w:p>
    <w:p w:rsidR="00602C7F" w:rsidRPr="00AE60B4" w:rsidRDefault="00602C7F" w:rsidP="00E30CA3">
      <w:pPr>
        <w:numPr>
          <w:ilvl w:val="0"/>
          <w:numId w:val="49"/>
        </w:numPr>
        <w:rPr>
          <w:rFonts w:asciiTheme="minorHAnsi" w:hAnsiTheme="minorHAnsi"/>
          <w:b/>
          <w:sz w:val="24"/>
        </w:rPr>
      </w:pPr>
      <w:r w:rsidRPr="00AE60B4">
        <w:rPr>
          <w:rFonts w:asciiTheme="minorHAnsi" w:hAnsiTheme="minorHAnsi"/>
          <w:sz w:val="24"/>
        </w:rPr>
        <w:t>Examine basic skills pathways in math &amp; English</w:t>
      </w:r>
      <w:r w:rsidR="00937314" w:rsidRPr="00AE60B4">
        <w:rPr>
          <w:rFonts w:asciiTheme="minorHAnsi" w:hAnsiTheme="minorHAnsi"/>
          <w:sz w:val="24"/>
        </w:rPr>
        <w:t xml:space="preserve"> to</w:t>
      </w:r>
      <w:r w:rsidRPr="00AE60B4">
        <w:rPr>
          <w:rFonts w:asciiTheme="minorHAnsi" w:hAnsiTheme="minorHAnsi"/>
          <w:sz w:val="24"/>
        </w:rPr>
        <w:t xml:space="preserve"> </w:t>
      </w:r>
      <w:r w:rsidR="00937314" w:rsidRPr="00AE60B4">
        <w:rPr>
          <w:rFonts w:asciiTheme="minorHAnsi" w:hAnsiTheme="minorHAnsi"/>
          <w:sz w:val="24"/>
        </w:rPr>
        <w:t>p</w:t>
      </w:r>
      <w:r w:rsidRPr="00AE60B4">
        <w:rPr>
          <w:rFonts w:asciiTheme="minorHAnsi" w:hAnsiTheme="minorHAnsi"/>
          <w:sz w:val="24"/>
        </w:rPr>
        <w:t xml:space="preserve">otentially </w:t>
      </w:r>
      <w:r w:rsidR="00937314" w:rsidRPr="00AE60B4">
        <w:rPr>
          <w:rFonts w:asciiTheme="minorHAnsi" w:hAnsiTheme="minorHAnsi"/>
          <w:sz w:val="24"/>
        </w:rPr>
        <w:t xml:space="preserve">redesign remedial pathways, </w:t>
      </w:r>
      <w:r w:rsidRPr="00AE60B4">
        <w:rPr>
          <w:rFonts w:asciiTheme="minorHAnsi" w:hAnsiTheme="minorHAnsi"/>
          <w:sz w:val="24"/>
        </w:rPr>
        <w:t xml:space="preserve">reduce levels </w:t>
      </w:r>
      <w:r w:rsidR="00937314" w:rsidRPr="00AE60B4">
        <w:rPr>
          <w:rFonts w:asciiTheme="minorHAnsi" w:hAnsiTheme="minorHAnsi"/>
          <w:sz w:val="24"/>
        </w:rPr>
        <w:t xml:space="preserve">of courses </w:t>
      </w:r>
      <w:r w:rsidRPr="00AE60B4">
        <w:rPr>
          <w:rFonts w:asciiTheme="minorHAnsi" w:hAnsiTheme="minorHAnsi"/>
          <w:sz w:val="24"/>
        </w:rPr>
        <w:t>below transfer</w:t>
      </w:r>
      <w:r w:rsidR="00937314" w:rsidRPr="00AE60B4">
        <w:rPr>
          <w:rFonts w:asciiTheme="minorHAnsi" w:hAnsiTheme="minorHAnsi"/>
          <w:sz w:val="24"/>
        </w:rPr>
        <w:t>,</w:t>
      </w:r>
      <w:r w:rsidRPr="00AE60B4">
        <w:rPr>
          <w:rFonts w:asciiTheme="minorHAnsi" w:hAnsiTheme="minorHAnsi"/>
          <w:sz w:val="24"/>
        </w:rPr>
        <w:t xml:space="preserve"> </w:t>
      </w:r>
      <w:r w:rsidR="00937314" w:rsidRPr="00AE60B4">
        <w:rPr>
          <w:rFonts w:asciiTheme="minorHAnsi" w:hAnsiTheme="minorHAnsi"/>
          <w:sz w:val="24"/>
        </w:rPr>
        <w:t xml:space="preserve">develop non-credit offerings, </w:t>
      </w:r>
      <w:r w:rsidRPr="00AE60B4">
        <w:rPr>
          <w:rFonts w:asciiTheme="minorHAnsi" w:hAnsiTheme="minorHAnsi"/>
          <w:sz w:val="24"/>
        </w:rPr>
        <w:t xml:space="preserve">and/or </w:t>
      </w:r>
      <w:r w:rsidR="00937314" w:rsidRPr="00AE60B4">
        <w:rPr>
          <w:rFonts w:asciiTheme="minorHAnsi" w:hAnsiTheme="minorHAnsi"/>
          <w:sz w:val="24"/>
        </w:rPr>
        <w:t>develop</w:t>
      </w:r>
      <w:r w:rsidRPr="00AE60B4">
        <w:rPr>
          <w:rFonts w:asciiTheme="minorHAnsi" w:hAnsiTheme="minorHAnsi"/>
          <w:sz w:val="24"/>
        </w:rPr>
        <w:t xml:space="preserve"> </w:t>
      </w:r>
      <w:r w:rsidR="00937314" w:rsidRPr="00AE60B4">
        <w:rPr>
          <w:rFonts w:asciiTheme="minorHAnsi" w:hAnsiTheme="minorHAnsi"/>
          <w:sz w:val="24"/>
        </w:rPr>
        <w:t>accelerated</w:t>
      </w:r>
      <w:r w:rsidRPr="00AE60B4">
        <w:rPr>
          <w:rFonts w:asciiTheme="minorHAnsi" w:hAnsiTheme="minorHAnsi"/>
          <w:sz w:val="24"/>
        </w:rPr>
        <w:t xml:space="preserve"> </w:t>
      </w:r>
      <w:r w:rsidR="00937314" w:rsidRPr="00AE60B4">
        <w:rPr>
          <w:rFonts w:asciiTheme="minorHAnsi" w:hAnsiTheme="minorHAnsi"/>
          <w:sz w:val="24"/>
        </w:rPr>
        <w:t>pathways</w:t>
      </w:r>
      <w:r w:rsidRPr="00AE60B4">
        <w:rPr>
          <w:rFonts w:asciiTheme="minorHAnsi" w:hAnsiTheme="minorHAnsi"/>
          <w:sz w:val="24"/>
        </w:rPr>
        <w:t>.</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Explore adding and refining prerequisites for transfer courses.</w:t>
      </w:r>
    </w:p>
    <w:p w:rsidR="00AE60B4" w:rsidRPr="00AE60B4" w:rsidRDefault="00AE60B4" w:rsidP="00E30CA3">
      <w:pPr>
        <w:numPr>
          <w:ilvl w:val="0"/>
          <w:numId w:val="49"/>
        </w:numPr>
        <w:rPr>
          <w:rFonts w:asciiTheme="minorHAnsi" w:hAnsiTheme="minorHAnsi"/>
          <w:sz w:val="24"/>
        </w:rPr>
      </w:pPr>
      <w:r w:rsidRPr="00AE60B4">
        <w:rPr>
          <w:rFonts w:asciiTheme="minorHAnsi" w:hAnsiTheme="minorHAnsi"/>
          <w:sz w:val="24"/>
        </w:rPr>
        <w:t>Continue exploring and implementing online tutoring and other distance education support</w:t>
      </w:r>
    </w:p>
    <w:p w:rsidR="00602C7F" w:rsidRPr="00AE60B4" w:rsidRDefault="00602C7F" w:rsidP="00E30CA3">
      <w:pPr>
        <w:numPr>
          <w:ilvl w:val="0"/>
          <w:numId w:val="49"/>
        </w:numPr>
        <w:rPr>
          <w:rFonts w:asciiTheme="minorHAnsi" w:hAnsiTheme="minorHAnsi"/>
          <w:b/>
          <w:sz w:val="24"/>
        </w:rPr>
      </w:pPr>
      <w:r w:rsidRPr="00AE60B4">
        <w:rPr>
          <w:rFonts w:asciiTheme="minorHAnsi" w:hAnsiTheme="minorHAnsi"/>
          <w:sz w:val="24"/>
        </w:rPr>
        <w:t>Offer additional instructional support</w:t>
      </w:r>
      <w:r w:rsidR="00937314" w:rsidRPr="00AE60B4">
        <w:rPr>
          <w:rFonts w:asciiTheme="minorHAnsi" w:hAnsiTheme="minorHAnsi"/>
          <w:sz w:val="24"/>
        </w:rPr>
        <w:t>,</w:t>
      </w:r>
      <w:r w:rsidRPr="00AE60B4">
        <w:rPr>
          <w:rFonts w:asciiTheme="minorHAnsi" w:hAnsiTheme="minorHAnsi"/>
          <w:sz w:val="24"/>
        </w:rPr>
        <w:t xml:space="preserve"> </w:t>
      </w:r>
      <w:r w:rsidR="00937314" w:rsidRPr="00AE60B4">
        <w:rPr>
          <w:rFonts w:asciiTheme="minorHAnsi" w:hAnsiTheme="minorHAnsi"/>
          <w:sz w:val="24"/>
        </w:rPr>
        <w:t>such as supplemental instruction and structured learning activities, directly to</w:t>
      </w:r>
      <w:r w:rsidRPr="00AE60B4">
        <w:rPr>
          <w:rFonts w:asciiTheme="minorHAnsi" w:hAnsiTheme="minorHAnsi"/>
          <w:sz w:val="24"/>
        </w:rPr>
        <w:t xml:space="preserve"> develo</w:t>
      </w:r>
      <w:r w:rsidR="00937314" w:rsidRPr="00AE60B4">
        <w:rPr>
          <w:rFonts w:asciiTheme="minorHAnsi" w:hAnsiTheme="minorHAnsi"/>
          <w:sz w:val="24"/>
        </w:rPr>
        <w:t>pmental courses</w:t>
      </w:r>
    </w:p>
    <w:p w:rsidR="00602C7F" w:rsidRPr="00AE60B4" w:rsidRDefault="00602C7F" w:rsidP="00E30CA3">
      <w:pPr>
        <w:numPr>
          <w:ilvl w:val="0"/>
          <w:numId w:val="49"/>
        </w:numPr>
        <w:rPr>
          <w:rFonts w:asciiTheme="minorHAnsi" w:hAnsiTheme="minorHAnsi"/>
          <w:b/>
          <w:sz w:val="24"/>
        </w:rPr>
      </w:pPr>
      <w:r w:rsidRPr="00AE60B4">
        <w:rPr>
          <w:rFonts w:asciiTheme="minorHAnsi" w:hAnsiTheme="minorHAnsi"/>
          <w:sz w:val="24"/>
        </w:rPr>
        <w:t>Offer additional counseling support to students</w:t>
      </w:r>
      <w:r w:rsidR="00937314" w:rsidRPr="00AE60B4">
        <w:rPr>
          <w:rFonts w:asciiTheme="minorHAnsi" w:hAnsiTheme="minorHAnsi"/>
          <w:sz w:val="24"/>
        </w:rPr>
        <w:t xml:space="preserve"> with developmental, remedial, and basic skills needs</w:t>
      </w:r>
      <w:r w:rsidRPr="00AE60B4">
        <w:rPr>
          <w:rFonts w:asciiTheme="minorHAnsi" w:hAnsiTheme="minorHAnsi"/>
          <w:sz w:val="24"/>
        </w:rPr>
        <w:t>. Consider embeddin</w:t>
      </w:r>
      <w:r w:rsidR="00937314" w:rsidRPr="00AE60B4">
        <w:rPr>
          <w:rFonts w:asciiTheme="minorHAnsi" w:hAnsiTheme="minorHAnsi"/>
          <w:sz w:val="24"/>
        </w:rPr>
        <w:t>g counseling support in classroom</w:t>
      </w:r>
    </w:p>
    <w:p w:rsidR="00602C7F" w:rsidRPr="00AE60B4" w:rsidRDefault="00602C7F" w:rsidP="00E30CA3">
      <w:pPr>
        <w:numPr>
          <w:ilvl w:val="0"/>
          <w:numId w:val="49"/>
        </w:numPr>
        <w:rPr>
          <w:rFonts w:asciiTheme="minorHAnsi" w:hAnsiTheme="minorHAnsi"/>
          <w:b/>
          <w:sz w:val="24"/>
        </w:rPr>
      </w:pPr>
      <w:r w:rsidRPr="00AE60B4">
        <w:rPr>
          <w:rFonts w:asciiTheme="minorHAnsi" w:hAnsiTheme="minorHAnsi"/>
          <w:sz w:val="24"/>
        </w:rPr>
        <w:t>Use embedded counseling model to enhance students’ affective skills-build/develop their ability to persevere</w:t>
      </w:r>
      <w:r w:rsidR="00937314" w:rsidRPr="00AE60B4">
        <w:rPr>
          <w:rFonts w:asciiTheme="minorHAnsi" w:hAnsiTheme="minorHAnsi"/>
          <w:sz w:val="24"/>
        </w:rPr>
        <w:t>, especially in gateway courses.</w:t>
      </w:r>
    </w:p>
    <w:p w:rsidR="000D7D4A" w:rsidRPr="00AE60B4" w:rsidRDefault="000D7D4A" w:rsidP="00E30CA3">
      <w:pPr>
        <w:numPr>
          <w:ilvl w:val="0"/>
          <w:numId w:val="49"/>
        </w:numPr>
        <w:rPr>
          <w:rFonts w:asciiTheme="minorHAnsi" w:hAnsiTheme="minorHAnsi"/>
          <w:b/>
          <w:sz w:val="24"/>
        </w:rPr>
      </w:pPr>
      <w:r w:rsidRPr="00AE60B4">
        <w:rPr>
          <w:rFonts w:asciiTheme="minorHAnsi" w:hAnsiTheme="minorHAnsi"/>
          <w:sz w:val="24"/>
        </w:rPr>
        <w:t>Expand concurrent and dual enrollment to better serve students and improve knowledge of academic programs offered at Crafton Hills College.</w:t>
      </w:r>
    </w:p>
    <w:p w:rsidR="00602C7F" w:rsidRPr="00AE60B4" w:rsidRDefault="000D7D4A" w:rsidP="00E30CA3">
      <w:pPr>
        <w:numPr>
          <w:ilvl w:val="0"/>
          <w:numId w:val="49"/>
        </w:numPr>
        <w:rPr>
          <w:rFonts w:asciiTheme="minorHAnsi" w:hAnsiTheme="minorHAnsi"/>
          <w:b/>
          <w:sz w:val="24"/>
        </w:rPr>
      </w:pPr>
      <w:r w:rsidRPr="00AE60B4">
        <w:rPr>
          <w:rFonts w:asciiTheme="minorHAnsi" w:hAnsiTheme="minorHAnsi"/>
          <w:sz w:val="24"/>
        </w:rPr>
        <w:t xml:space="preserve">Support, expand, and learn from local </w:t>
      </w:r>
      <w:r w:rsidR="00602C7F" w:rsidRPr="00AE60B4">
        <w:rPr>
          <w:rFonts w:asciiTheme="minorHAnsi" w:hAnsiTheme="minorHAnsi"/>
          <w:sz w:val="24"/>
        </w:rPr>
        <w:t>programs that have demonstrated positive impact</w:t>
      </w:r>
      <w:r w:rsidRPr="00AE60B4">
        <w:rPr>
          <w:rFonts w:asciiTheme="minorHAnsi" w:hAnsiTheme="minorHAnsi"/>
          <w:sz w:val="24"/>
        </w:rPr>
        <w:t>s on student success.</w:t>
      </w:r>
    </w:p>
    <w:p w:rsidR="00AD1889" w:rsidRPr="009D59FF" w:rsidRDefault="009D59FF">
      <w:pPr>
        <w:rPr>
          <w:rFonts w:asciiTheme="minorHAnsi" w:hAnsiTheme="minorHAnsi"/>
          <w:b/>
          <w:color w:val="FF0000"/>
          <w:sz w:val="24"/>
        </w:rPr>
      </w:pPr>
      <w:r w:rsidRPr="009D59FF">
        <w:rPr>
          <w:rFonts w:asciiTheme="minorHAnsi" w:hAnsiTheme="minorHAnsi"/>
          <w:b/>
          <w:color w:val="FF0000"/>
          <w:sz w:val="24"/>
        </w:rPr>
        <w:t>Revise and add content to each</w:t>
      </w:r>
    </w:p>
    <w:p w:rsidR="009D59FF" w:rsidRDefault="009D59FF" w:rsidP="00793F65">
      <w:pPr>
        <w:rPr>
          <w:rFonts w:asciiTheme="minorHAnsi" w:eastAsia="Arial" w:hAnsiTheme="minorHAnsi" w:cs="Arial"/>
          <w:b/>
          <w:sz w:val="24"/>
        </w:rPr>
      </w:pPr>
    </w:p>
    <w:p w:rsidR="008D6ACD" w:rsidRDefault="008D6ACD" w:rsidP="00793F65">
      <w:pPr>
        <w:rPr>
          <w:rFonts w:asciiTheme="minorHAnsi" w:eastAsia="Arial" w:hAnsiTheme="minorHAnsi" w:cs="Arial"/>
          <w:b/>
          <w:sz w:val="24"/>
        </w:rPr>
      </w:pPr>
    </w:p>
    <w:p w:rsidR="005A22E6" w:rsidRDefault="005A22E6" w:rsidP="00793F65">
      <w:pPr>
        <w:rPr>
          <w:rFonts w:asciiTheme="minorHAnsi" w:eastAsia="Arial" w:hAnsiTheme="minorHAnsi" w:cs="Arial"/>
          <w:b/>
          <w:sz w:val="24"/>
        </w:rPr>
      </w:pPr>
    </w:p>
    <w:p w:rsidR="005A22E6" w:rsidRDefault="005A22E6" w:rsidP="00793F65">
      <w:pPr>
        <w:rPr>
          <w:rFonts w:asciiTheme="minorHAnsi" w:eastAsia="Arial" w:hAnsiTheme="minorHAnsi" w:cs="Arial"/>
          <w:b/>
          <w:sz w:val="24"/>
        </w:rPr>
      </w:pPr>
    </w:p>
    <w:p w:rsidR="005A22E6" w:rsidRDefault="005A22E6" w:rsidP="00793F65">
      <w:pPr>
        <w:rPr>
          <w:rFonts w:asciiTheme="minorHAnsi" w:eastAsia="Arial" w:hAnsiTheme="minorHAnsi" w:cs="Arial"/>
          <w:b/>
          <w:sz w:val="24"/>
        </w:rPr>
      </w:pPr>
      <w:bookmarkStart w:id="8" w:name="_GoBack"/>
      <w:bookmarkEnd w:id="8"/>
    </w:p>
    <w:p w:rsidR="00793F65" w:rsidRPr="00793F65" w:rsidRDefault="00136838" w:rsidP="00793F65">
      <w:pPr>
        <w:rPr>
          <w:rFonts w:asciiTheme="minorHAnsi" w:eastAsia="Arial" w:hAnsiTheme="minorHAnsi" w:cs="Arial"/>
          <w:b/>
          <w:sz w:val="24"/>
        </w:rPr>
      </w:pPr>
      <w:r w:rsidRPr="00793F65">
        <w:rPr>
          <w:rFonts w:asciiTheme="minorHAnsi" w:eastAsia="Arial" w:hAnsiTheme="minorHAnsi" w:cs="Arial"/>
          <w:b/>
          <w:sz w:val="24"/>
        </w:rPr>
        <w:lastRenderedPageBreak/>
        <w:t>Major Strategies</w:t>
      </w:r>
    </w:p>
    <w:p w:rsidR="00793F65" w:rsidRPr="00793F65" w:rsidRDefault="00136838" w:rsidP="0082430B">
      <w:pPr>
        <w:rPr>
          <w:rFonts w:asciiTheme="minorHAnsi" w:eastAsia="Calibri" w:hAnsiTheme="minorHAnsi" w:cs="Calibri"/>
          <w:b/>
          <w:sz w:val="24"/>
        </w:rPr>
      </w:pPr>
      <w:r w:rsidRPr="00793F65">
        <w:rPr>
          <w:rFonts w:asciiTheme="minorHAnsi" w:eastAsia="Arial" w:hAnsiTheme="minorHAnsi" w:cs="Arial"/>
          <w:b/>
          <w:sz w:val="24"/>
        </w:rPr>
        <w:t>Strategic Direction 1: Promote Student Success</w:t>
      </w:r>
      <w:r w:rsidRPr="00793F65">
        <w:rPr>
          <w:rFonts w:asciiTheme="minorHAnsi" w:eastAsia="Calibri" w:hAnsiTheme="minorHAnsi" w:cs="Calibri"/>
          <w:b/>
          <w:sz w:val="24"/>
        </w:rPr>
        <w:t xml:space="preserve"> </w:t>
      </w:r>
    </w:p>
    <w:p w:rsidR="002B2EB8" w:rsidRPr="00D03372" w:rsidRDefault="00793F65" w:rsidP="0082430B">
      <w:pPr>
        <w:rPr>
          <w:rFonts w:asciiTheme="minorHAnsi" w:eastAsia="Calibri" w:hAnsiTheme="minorHAnsi" w:cs="Calibri"/>
          <w:sz w:val="24"/>
          <w:szCs w:val="24"/>
        </w:rPr>
      </w:pPr>
      <w:r w:rsidRPr="00D03372">
        <w:rPr>
          <w:rFonts w:asciiTheme="minorHAnsi" w:eastAsia="Calibri" w:hAnsiTheme="minorHAnsi" w:cs="Calibri"/>
          <w:sz w:val="24"/>
          <w:szCs w:val="24"/>
        </w:rPr>
        <w:t>G</w:t>
      </w:r>
      <w:r w:rsidR="002B2EB8" w:rsidRPr="00D03372">
        <w:rPr>
          <w:rFonts w:asciiTheme="minorHAnsi" w:eastAsia="Calibri" w:hAnsiTheme="minorHAnsi" w:cs="Calibri"/>
          <w:sz w:val="24"/>
          <w:szCs w:val="24"/>
        </w:rPr>
        <w:t>oal 1: Support, Guide and Empower Every Student to Achieve Goals</w:t>
      </w:r>
    </w:p>
    <w:p w:rsidR="002B2EB8" w:rsidRPr="00D03372" w:rsidRDefault="005C18F7" w:rsidP="008D6ACD">
      <w:pPr>
        <w:spacing w:after="0"/>
        <w:rPr>
          <w:rFonts w:asciiTheme="minorHAnsi" w:eastAsia="Calibri" w:hAnsiTheme="minorHAnsi" w:cs="Calibri"/>
          <w:sz w:val="24"/>
          <w:szCs w:val="24"/>
        </w:rPr>
      </w:pPr>
      <w:r>
        <w:rPr>
          <w:rFonts w:asciiTheme="minorHAnsi" w:eastAsia="Calibri" w:hAnsiTheme="minorHAnsi" w:cs="Calibri"/>
          <w:sz w:val="24"/>
          <w:szCs w:val="24"/>
        </w:rPr>
        <w:t>Supporting Actions</w:t>
      </w:r>
      <w:r w:rsidR="002B2EB8" w:rsidRPr="00D03372">
        <w:rPr>
          <w:rFonts w:asciiTheme="minorHAnsi" w:eastAsia="Calibri" w:hAnsiTheme="minorHAnsi" w:cs="Calibri"/>
          <w:sz w:val="24"/>
          <w:szCs w:val="24"/>
        </w:rPr>
        <w:t>:</w:t>
      </w:r>
    </w:p>
    <w:p w:rsidR="002B2EB8" w:rsidRPr="00D03372" w:rsidRDefault="002B2EB8" w:rsidP="00E30CA3">
      <w:pPr>
        <w:pStyle w:val="ListParagraph"/>
        <w:numPr>
          <w:ilvl w:val="0"/>
          <w:numId w:val="23"/>
        </w:numPr>
        <w:rPr>
          <w:rFonts w:asciiTheme="minorHAnsi" w:eastAsia="Arial" w:hAnsiTheme="minorHAnsi" w:cs="Arial"/>
          <w:sz w:val="24"/>
          <w:szCs w:val="24"/>
        </w:rPr>
      </w:pPr>
      <w:r w:rsidRPr="00D03372">
        <w:rPr>
          <w:rFonts w:asciiTheme="minorHAnsi" w:eastAsia="Arial" w:hAnsiTheme="minorHAnsi" w:cs="Arial"/>
          <w:sz w:val="24"/>
          <w:szCs w:val="24"/>
        </w:rPr>
        <w:t>Work towards aligning the College’s curriculum with high school curriculum to effect smooth transitions and better prepared incoming students</w:t>
      </w:r>
    </w:p>
    <w:p w:rsidR="002B2EB8" w:rsidRPr="00D03372" w:rsidRDefault="002B2EB8" w:rsidP="00E30CA3">
      <w:pPr>
        <w:pStyle w:val="ListParagraph"/>
        <w:numPr>
          <w:ilvl w:val="0"/>
          <w:numId w:val="23"/>
        </w:numPr>
        <w:rPr>
          <w:rFonts w:asciiTheme="minorHAnsi" w:eastAsia="Calibri" w:hAnsiTheme="minorHAnsi" w:cs="Calibri"/>
          <w:sz w:val="24"/>
          <w:szCs w:val="24"/>
        </w:rPr>
      </w:pPr>
      <w:r w:rsidRPr="00D03372">
        <w:rPr>
          <w:rFonts w:asciiTheme="minorHAnsi" w:eastAsia="Calibri" w:hAnsiTheme="minorHAnsi" w:cs="Calibri"/>
          <w:sz w:val="24"/>
          <w:szCs w:val="24"/>
        </w:rPr>
        <w:t>Pilot and implement high impact practices in basic skills courses and programs to improve throughput rate to college level courses.</w:t>
      </w:r>
    </w:p>
    <w:p w:rsidR="002B2EB8" w:rsidRPr="00D03372" w:rsidRDefault="002B2EB8" w:rsidP="00E30CA3">
      <w:pPr>
        <w:pStyle w:val="ListParagraph"/>
        <w:numPr>
          <w:ilvl w:val="0"/>
          <w:numId w:val="23"/>
        </w:numPr>
        <w:rPr>
          <w:rFonts w:asciiTheme="minorHAnsi" w:eastAsia="Calibri" w:hAnsiTheme="minorHAnsi" w:cs="Calibri"/>
          <w:sz w:val="24"/>
          <w:szCs w:val="24"/>
        </w:rPr>
      </w:pPr>
      <w:r w:rsidRPr="00D03372">
        <w:rPr>
          <w:rFonts w:asciiTheme="minorHAnsi" w:eastAsia="Calibri" w:hAnsiTheme="minorHAnsi" w:cs="Calibri"/>
          <w:sz w:val="24"/>
          <w:szCs w:val="24"/>
        </w:rPr>
        <w:t>Ensure student placement that is systematic, consistent with emerging standards, and appropriate for our courses</w:t>
      </w:r>
    </w:p>
    <w:p w:rsidR="002B2EB8" w:rsidRPr="00D03372" w:rsidRDefault="002B2EB8" w:rsidP="00E30CA3">
      <w:pPr>
        <w:pStyle w:val="ListParagraph"/>
        <w:keepNext/>
        <w:keepLines/>
        <w:numPr>
          <w:ilvl w:val="0"/>
          <w:numId w:val="23"/>
        </w:numPr>
        <w:spacing w:before="120" w:after="0" w:line="276" w:lineRule="auto"/>
        <w:rPr>
          <w:rFonts w:asciiTheme="minorHAnsi" w:hAnsiTheme="minorHAnsi"/>
          <w:sz w:val="24"/>
          <w:szCs w:val="24"/>
        </w:rPr>
      </w:pPr>
      <w:r w:rsidRPr="00D03372">
        <w:rPr>
          <w:rFonts w:asciiTheme="minorHAnsi" w:eastAsia="Calibri" w:hAnsiTheme="minorHAnsi" w:cs="Calibri"/>
          <w:sz w:val="24"/>
          <w:szCs w:val="24"/>
        </w:rPr>
        <w:t>Achieve the applicable goals in the Distance Education (DE) Plan</w:t>
      </w:r>
    </w:p>
    <w:p w:rsidR="002B2EB8" w:rsidRPr="00D03372" w:rsidRDefault="002B2EB8" w:rsidP="00E30CA3">
      <w:pPr>
        <w:keepNext/>
        <w:keepLines/>
        <w:numPr>
          <w:ilvl w:val="0"/>
          <w:numId w:val="40"/>
        </w:numPr>
        <w:spacing w:before="120" w:after="0" w:line="276" w:lineRule="auto"/>
        <w:contextualSpacing/>
        <w:rPr>
          <w:rFonts w:asciiTheme="minorHAnsi" w:eastAsia="Calibri" w:hAnsiTheme="minorHAnsi" w:cs="Calibri"/>
          <w:sz w:val="24"/>
          <w:szCs w:val="24"/>
        </w:rPr>
      </w:pPr>
      <w:r w:rsidRPr="00D03372">
        <w:rPr>
          <w:rFonts w:asciiTheme="minorHAnsi" w:eastAsia="Calibri" w:hAnsiTheme="minorHAnsi" w:cs="Calibri"/>
          <w:sz w:val="24"/>
          <w:szCs w:val="24"/>
        </w:rPr>
        <w:t>Develop a Quality DE Program</w:t>
      </w:r>
    </w:p>
    <w:p w:rsidR="002B2EB8" w:rsidRPr="00D03372" w:rsidRDefault="002B2EB8" w:rsidP="00E30CA3">
      <w:pPr>
        <w:keepNext/>
        <w:keepLines/>
        <w:numPr>
          <w:ilvl w:val="0"/>
          <w:numId w:val="40"/>
        </w:numPr>
        <w:spacing w:before="120" w:after="0" w:line="276" w:lineRule="auto"/>
        <w:contextualSpacing/>
        <w:rPr>
          <w:rFonts w:asciiTheme="minorHAnsi" w:eastAsia="Calibri" w:hAnsiTheme="minorHAnsi" w:cs="Calibri"/>
          <w:sz w:val="24"/>
          <w:szCs w:val="24"/>
        </w:rPr>
      </w:pPr>
      <w:r w:rsidRPr="00D03372">
        <w:rPr>
          <w:rFonts w:asciiTheme="minorHAnsi" w:eastAsia="Calibri" w:hAnsiTheme="minorHAnsi" w:cs="Calibri"/>
          <w:sz w:val="24"/>
          <w:szCs w:val="24"/>
        </w:rPr>
        <w:t>Promote Student Success in DE courses</w:t>
      </w:r>
    </w:p>
    <w:p w:rsidR="00D03372" w:rsidRPr="00D03372" w:rsidRDefault="002B2EB8" w:rsidP="00E30CA3">
      <w:pPr>
        <w:pStyle w:val="ListParagraph"/>
        <w:numPr>
          <w:ilvl w:val="0"/>
          <w:numId w:val="40"/>
        </w:numPr>
        <w:spacing w:after="0"/>
        <w:rPr>
          <w:rFonts w:asciiTheme="minorHAnsi" w:hAnsiTheme="minorHAnsi"/>
          <w:sz w:val="24"/>
          <w:szCs w:val="24"/>
        </w:rPr>
      </w:pPr>
      <w:r w:rsidRPr="00D03372">
        <w:rPr>
          <w:rFonts w:asciiTheme="minorHAnsi" w:eastAsia="Calibri" w:hAnsiTheme="minorHAnsi" w:cs="Calibri"/>
          <w:sz w:val="24"/>
          <w:szCs w:val="24"/>
        </w:rPr>
        <w:t>DE Students will have the same access to both academic and student services resources as traditional students</w:t>
      </w:r>
      <w:r w:rsidR="00D03372" w:rsidRPr="00D03372">
        <w:rPr>
          <w:rFonts w:asciiTheme="minorHAnsi" w:eastAsia="Arial" w:hAnsiTheme="minorHAnsi" w:cs="Arial"/>
          <w:sz w:val="24"/>
          <w:szCs w:val="24"/>
        </w:rPr>
        <w:t xml:space="preserve">  - Continue implementation of online support for students through tutoring and counseling services</w:t>
      </w:r>
    </w:p>
    <w:p w:rsidR="002B2EB8" w:rsidRPr="00D03372" w:rsidRDefault="002B2EB8" w:rsidP="00E30CA3">
      <w:pPr>
        <w:keepNext/>
        <w:keepLines/>
        <w:numPr>
          <w:ilvl w:val="0"/>
          <w:numId w:val="40"/>
        </w:numPr>
        <w:spacing w:after="0" w:line="276" w:lineRule="auto"/>
        <w:contextualSpacing/>
        <w:rPr>
          <w:rFonts w:asciiTheme="minorHAnsi" w:eastAsia="Calibri" w:hAnsiTheme="minorHAnsi" w:cs="Calibri"/>
          <w:sz w:val="24"/>
          <w:szCs w:val="24"/>
        </w:rPr>
      </w:pPr>
      <w:r w:rsidRPr="00D03372">
        <w:rPr>
          <w:rFonts w:asciiTheme="minorHAnsi" w:eastAsia="Calibri" w:hAnsiTheme="minorHAnsi" w:cs="Calibri"/>
          <w:sz w:val="24"/>
          <w:szCs w:val="24"/>
        </w:rPr>
        <w:t>CHC will monitor and evaluate student achievement in DE courses</w:t>
      </w:r>
    </w:p>
    <w:p w:rsidR="002B2EB8" w:rsidRPr="00D03372" w:rsidRDefault="002B2EB8" w:rsidP="00E30CA3">
      <w:pPr>
        <w:pStyle w:val="ListParagraph"/>
        <w:numPr>
          <w:ilvl w:val="0"/>
          <w:numId w:val="40"/>
        </w:numPr>
        <w:rPr>
          <w:rFonts w:asciiTheme="minorHAnsi" w:hAnsiTheme="minorHAnsi"/>
          <w:sz w:val="24"/>
          <w:szCs w:val="24"/>
        </w:rPr>
      </w:pPr>
      <w:r w:rsidRPr="00D03372">
        <w:rPr>
          <w:rFonts w:asciiTheme="minorHAnsi" w:eastAsia="Calibri" w:hAnsiTheme="minorHAnsi" w:cs="Calibri"/>
          <w:sz w:val="24"/>
          <w:szCs w:val="24"/>
        </w:rPr>
        <w:t>CHC will develop a Plan for DE program growth</w:t>
      </w:r>
    </w:p>
    <w:p w:rsidR="00793F65" w:rsidRPr="00D03372" w:rsidRDefault="00793F65" w:rsidP="00E30CA3">
      <w:pPr>
        <w:pStyle w:val="ListParagraph"/>
        <w:keepNext/>
        <w:keepLines/>
        <w:numPr>
          <w:ilvl w:val="0"/>
          <w:numId w:val="23"/>
        </w:numPr>
        <w:spacing w:before="120" w:after="0" w:line="276" w:lineRule="auto"/>
        <w:rPr>
          <w:rFonts w:asciiTheme="minorHAnsi" w:hAnsiTheme="minorHAnsi"/>
          <w:sz w:val="24"/>
          <w:szCs w:val="24"/>
        </w:rPr>
      </w:pPr>
      <w:r w:rsidRPr="00D03372">
        <w:rPr>
          <w:rFonts w:asciiTheme="minorHAnsi" w:eastAsia="Calibri" w:hAnsiTheme="minorHAnsi" w:cs="Calibri"/>
          <w:sz w:val="24"/>
          <w:szCs w:val="24"/>
        </w:rPr>
        <w:t>Achieve the applicable goals in the Student Equity Plan. Specifically, we shall focus on the traditionally disadvantaged groups that have been identified in our Equity Plan: economically disadvantaged, Hispanic, African-American, Foster Youth, Disabled, and Veteran populations. This will require targeted outreach, counseling and tutoring programs.</w:t>
      </w:r>
    </w:p>
    <w:p w:rsidR="00793F65" w:rsidRPr="00D03372" w:rsidRDefault="00D03372" w:rsidP="00E30CA3">
      <w:pPr>
        <w:pStyle w:val="ListParagraph"/>
        <w:numPr>
          <w:ilvl w:val="0"/>
          <w:numId w:val="23"/>
        </w:numPr>
        <w:rPr>
          <w:rFonts w:asciiTheme="minorHAnsi" w:eastAsia="Arial" w:hAnsiTheme="minorHAnsi" w:cs="Arial"/>
          <w:sz w:val="24"/>
          <w:szCs w:val="24"/>
        </w:rPr>
      </w:pPr>
      <w:r w:rsidRPr="00D03372">
        <w:rPr>
          <w:rFonts w:asciiTheme="minorHAnsi" w:eastAsia="Arial" w:hAnsiTheme="minorHAnsi" w:cs="Arial"/>
          <w:sz w:val="24"/>
          <w:szCs w:val="24"/>
        </w:rPr>
        <w:t>Encourage the majority of students to access instructional support services and e</w:t>
      </w:r>
      <w:r w:rsidR="00793F65" w:rsidRPr="00D03372">
        <w:rPr>
          <w:rFonts w:asciiTheme="minorHAnsi" w:eastAsia="Arial" w:hAnsiTheme="minorHAnsi" w:cs="Arial"/>
          <w:sz w:val="24"/>
          <w:szCs w:val="24"/>
        </w:rPr>
        <w:t>nsure high service levels to under-represented or disproportionately impacted groups</w:t>
      </w:r>
    </w:p>
    <w:p w:rsidR="00793F65" w:rsidRPr="00D03372" w:rsidRDefault="00793F65" w:rsidP="00E30CA3">
      <w:pPr>
        <w:pStyle w:val="ListParagraph"/>
        <w:numPr>
          <w:ilvl w:val="0"/>
          <w:numId w:val="23"/>
        </w:numPr>
        <w:rPr>
          <w:rFonts w:asciiTheme="minorHAnsi" w:eastAsia="Calibri" w:hAnsiTheme="minorHAnsi" w:cs="Calibri"/>
          <w:sz w:val="24"/>
          <w:szCs w:val="24"/>
        </w:rPr>
      </w:pPr>
      <w:r w:rsidRPr="00D03372">
        <w:rPr>
          <w:rFonts w:asciiTheme="minorHAnsi" w:eastAsia="Calibri" w:hAnsiTheme="minorHAnsi" w:cs="Calibri"/>
          <w:sz w:val="24"/>
          <w:szCs w:val="24"/>
        </w:rPr>
        <w:t>80% of CHC students will develop and follow a comprehensive education plan</w:t>
      </w:r>
    </w:p>
    <w:p w:rsidR="00D03372" w:rsidRPr="00D03372" w:rsidRDefault="00D03372" w:rsidP="00E30CA3">
      <w:pPr>
        <w:pStyle w:val="ListParagraph"/>
        <w:numPr>
          <w:ilvl w:val="0"/>
          <w:numId w:val="23"/>
        </w:numPr>
        <w:rPr>
          <w:rFonts w:asciiTheme="minorHAnsi" w:eastAsia="Calibri" w:hAnsiTheme="minorHAnsi" w:cs="Calibri"/>
          <w:sz w:val="24"/>
          <w:szCs w:val="24"/>
        </w:rPr>
      </w:pPr>
      <w:r w:rsidRPr="00D03372">
        <w:rPr>
          <w:rFonts w:asciiTheme="minorHAnsi" w:eastAsia="Calibri" w:hAnsiTheme="minorHAnsi" w:cs="Calibri"/>
          <w:sz w:val="24"/>
          <w:szCs w:val="24"/>
        </w:rPr>
        <w:t>Provide up-to-date assistive technology to increase the access, success and independence of students with disabilities and learning differences</w:t>
      </w:r>
    </w:p>
    <w:p w:rsidR="00D03372" w:rsidRPr="008D6ACD" w:rsidRDefault="00793F65" w:rsidP="008D6ACD">
      <w:pPr>
        <w:pStyle w:val="ListParagraph"/>
        <w:numPr>
          <w:ilvl w:val="0"/>
          <w:numId w:val="23"/>
        </w:numPr>
        <w:rPr>
          <w:rFonts w:asciiTheme="minorHAnsi" w:eastAsia="Arial" w:hAnsiTheme="minorHAnsi" w:cs="Arial"/>
          <w:sz w:val="24"/>
          <w:szCs w:val="24"/>
        </w:rPr>
      </w:pPr>
      <w:r w:rsidRPr="00D03372">
        <w:rPr>
          <w:rFonts w:asciiTheme="minorHAnsi" w:eastAsia="Arial" w:hAnsiTheme="minorHAnsi" w:cs="Arial"/>
          <w:sz w:val="24"/>
          <w:szCs w:val="24"/>
        </w:rPr>
        <w:t>Provide increased access to low cost / no cost educational materials (e.g., software, textbooks, tutoring) which will greatly assist economically disadvantaged students</w:t>
      </w:r>
    </w:p>
    <w:p w:rsidR="00D03372" w:rsidRDefault="0081032A" w:rsidP="005C18F7">
      <w:pPr>
        <w:rPr>
          <w:rFonts w:asciiTheme="minorHAnsi" w:eastAsia="Arial" w:hAnsiTheme="minorHAnsi" w:cs="Arial"/>
          <w:sz w:val="24"/>
          <w:szCs w:val="24"/>
        </w:rPr>
      </w:pPr>
      <w:r w:rsidRPr="00D03372">
        <w:rPr>
          <w:rFonts w:asciiTheme="minorHAnsi" w:eastAsia="Arial" w:hAnsiTheme="minorHAnsi" w:cs="Arial"/>
          <w:sz w:val="24"/>
          <w:szCs w:val="24"/>
        </w:rPr>
        <w:t>Goal 2:  Use Every Area on Campus to Promote Student Learning</w:t>
      </w:r>
    </w:p>
    <w:p w:rsidR="005C18F7" w:rsidRDefault="005C18F7" w:rsidP="008D6ACD">
      <w:pPr>
        <w:spacing w:after="0"/>
        <w:rPr>
          <w:rFonts w:asciiTheme="minorHAnsi" w:eastAsia="Calibri" w:hAnsiTheme="minorHAnsi" w:cs="Calibri"/>
          <w:sz w:val="24"/>
          <w:szCs w:val="24"/>
        </w:rPr>
      </w:pPr>
      <w:r>
        <w:rPr>
          <w:rFonts w:asciiTheme="minorHAnsi" w:eastAsia="Calibri" w:hAnsiTheme="minorHAnsi" w:cs="Calibri"/>
          <w:sz w:val="24"/>
          <w:szCs w:val="24"/>
        </w:rPr>
        <w:t>Supporting Actions:</w:t>
      </w:r>
    </w:p>
    <w:p w:rsidR="00D03372" w:rsidRDefault="00D03372" w:rsidP="008D6ACD">
      <w:pPr>
        <w:pStyle w:val="ListParagraph"/>
        <w:numPr>
          <w:ilvl w:val="0"/>
          <w:numId w:val="41"/>
        </w:numPr>
        <w:spacing w:after="0"/>
        <w:rPr>
          <w:rFonts w:asciiTheme="minorHAnsi" w:eastAsia="Arial" w:hAnsiTheme="minorHAnsi" w:cs="Arial"/>
          <w:sz w:val="24"/>
          <w:szCs w:val="24"/>
        </w:rPr>
      </w:pPr>
      <w:r w:rsidRPr="00D03372">
        <w:rPr>
          <w:rFonts w:asciiTheme="minorHAnsi" w:eastAsia="Arial" w:hAnsiTheme="minorHAnsi" w:cs="Arial"/>
          <w:sz w:val="24"/>
          <w:szCs w:val="24"/>
        </w:rPr>
        <w:t>Foster community on the campus by encouraging the use of gathering places for study and socializing</w:t>
      </w:r>
    </w:p>
    <w:p w:rsidR="00D03372" w:rsidRDefault="0081032A" w:rsidP="00E30CA3">
      <w:pPr>
        <w:pStyle w:val="ListParagraph"/>
        <w:numPr>
          <w:ilvl w:val="0"/>
          <w:numId w:val="41"/>
        </w:numPr>
        <w:rPr>
          <w:rFonts w:asciiTheme="minorHAnsi" w:eastAsia="Arial" w:hAnsiTheme="minorHAnsi" w:cs="Arial"/>
          <w:sz w:val="24"/>
          <w:szCs w:val="24"/>
        </w:rPr>
      </w:pPr>
      <w:r w:rsidRPr="00D03372">
        <w:rPr>
          <w:rFonts w:asciiTheme="minorHAnsi" w:eastAsia="Arial" w:hAnsiTheme="minorHAnsi" w:cs="Arial"/>
          <w:sz w:val="24"/>
          <w:szCs w:val="24"/>
        </w:rPr>
        <w:t>Maintain and improve the technology infrastructure to support the ongoing and expanding use of technology (e.g. Bring Your Own Device classes)</w:t>
      </w:r>
    </w:p>
    <w:p w:rsidR="0081032A" w:rsidRPr="00D03372" w:rsidRDefault="0081032A" w:rsidP="00E30CA3">
      <w:pPr>
        <w:pStyle w:val="ListParagraph"/>
        <w:numPr>
          <w:ilvl w:val="0"/>
          <w:numId w:val="41"/>
        </w:numPr>
        <w:rPr>
          <w:rFonts w:asciiTheme="minorHAnsi" w:eastAsia="Arial" w:hAnsiTheme="minorHAnsi" w:cs="Arial"/>
          <w:sz w:val="24"/>
          <w:szCs w:val="24"/>
        </w:rPr>
      </w:pPr>
      <w:r w:rsidRPr="00D03372">
        <w:rPr>
          <w:rFonts w:asciiTheme="minorHAnsi" w:eastAsia="Arial" w:hAnsiTheme="minorHAnsi" w:cs="Arial"/>
          <w:sz w:val="24"/>
          <w:szCs w:val="24"/>
        </w:rPr>
        <w:t>Utilize technology to reach out to and engage students</w:t>
      </w:r>
    </w:p>
    <w:p w:rsidR="00AD1889" w:rsidRPr="00D03372" w:rsidRDefault="00136838">
      <w:pPr>
        <w:keepNext/>
        <w:keepLines/>
        <w:spacing w:before="360" w:after="0" w:line="276" w:lineRule="auto"/>
        <w:rPr>
          <w:rFonts w:asciiTheme="minorHAnsi" w:hAnsiTheme="minorHAnsi"/>
          <w:sz w:val="24"/>
          <w:szCs w:val="24"/>
        </w:rPr>
      </w:pPr>
      <w:r w:rsidRPr="00D03372">
        <w:rPr>
          <w:rFonts w:asciiTheme="minorHAnsi" w:eastAsia="Arial" w:hAnsiTheme="minorHAnsi" w:cs="Arial"/>
          <w:b/>
          <w:sz w:val="24"/>
          <w:szCs w:val="24"/>
        </w:rPr>
        <w:lastRenderedPageBreak/>
        <w:t>SD 2: Build Campus Community</w:t>
      </w:r>
    </w:p>
    <w:p w:rsidR="00AD1889" w:rsidRPr="00D03372" w:rsidRDefault="00136838">
      <w:pPr>
        <w:keepNext/>
        <w:keepLines/>
        <w:spacing w:before="120" w:after="0" w:line="276" w:lineRule="auto"/>
        <w:rPr>
          <w:rFonts w:asciiTheme="minorHAnsi" w:hAnsiTheme="minorHAnsi"/>
          <w:sz w:val="24"/>
          <w:szCs w:val="24"/>
        </w:rPr>
      </w:pPr>
      <w:r w:rsidRPr="00D03372">
        <w:rPr>
          <w:rFonts w:asciiTheme="minorHAnsi" w:eastAsia="Arial" w:hAnsiTheme="minorHAnsi" w:cs="Arial"/>
          <w:sz w:val="24"/>
          <w:szCs w:val="24"/>
        </w:rPr>
        <w:t>College structures, processes and groups are inclusive, celebrating diversity and nurturing relationships.</w:t>
      </w:r>
    </w:p>
    <w:p w:rsidR="0081032A" w:rsidRPr="00D03372" w:rsidRDefault="0081032A" w:rsidP="0082430B">
      <w:pPr>
        <w:contextualSpacing/>
        <w:rPr>
          <w:rFonts w:asciiTheme="minorHAnsi" w:eastAsia="Arial" w:hAnsiTheme="minorHAnsi" w:cs="Arial"/>
          <w:sz w:val="24"/>
          <w:szCs w:val="24"/>
        </w:rPr>
      </w:pPr>
    </w:p>
    <w:p w:rsidR="0082430B" w:rsidRPr="00D03372" w:rsidRDefault="0081032A" w:rsidP="0082430B">
      <w:pPr>
        <w:contextualSpacing/>
        <w:rPr>
          <w:rFonts w:asciiTheme="minorHAnsi" w:eastAsia="Arial" w:hAnsiTheme="minorHAnsi" w:cs="Arial"/>
          <w:sz w:val="24"/>
          <w:szCs w:val="24"/>
        </w:rPr>
      </w:pPr>
      <w:r w:rsidRPr="00D03372">
        <w:rPr>
          <w:rFonts w:asciiTheme="minorHAnsi" w:eastAsia="Arial" w:hAnsiTheme="minorHAnsi" w:cs="Arial"/>
          <w:sz w:val="24"/>
          <w:szCs w:val="24"/>
        </w:rPr>
        <w:t xml:space="preserve">Goal 1: Promote inclusiveness and </w:t>
      </w:r>
      <w:r w:rsidR="005C505D" w:rsidRPr="00D03372">
        <w:rPr>
          <w:rFonts w:asciiTheme="minorHAnsi" w:eastAsia="Arial" w:hAnsiTheme="minorHAnsi" w:cs="Arial"/>
          <w:sz w:val="24"/>
          <w:szCs w:val="24"/>
        </w:rPr>
        <w:t>c</w:t>
      </w:r>
      <w:r w:rsidRPr="00D03372">
        <w:rPr>
          <w:rFonts w:asciiTheme="minorHAnsi" w:eastAsia="Arial" w:hAnsiTheme="minorHAnsi" w:cs="Arial"/>
          <w:sz w:val="24"/>
          <w:szCs w:val="24"/>
        </w:rPr>
        <w:t>ommunity</w:t>
      </w:r>
    </w:p>
    <w:p w:rsidR="005C18F7" w:rsidRPr="005C18F7" w:rsidRDefault="005C18F7" w:rsidP="005C18F7">
      <w:pPr>
        <w:rPr>
          <w:rFonts w:asciiTheme="minorHAnsi" w:eastAsia="Calibri" w:hAnsiTheme="minorHAnsi" w:cs="Calibri"/>
          <w:sz w:val="24"/>
          <w:szCs w:val="24"/>
        </w:rPr>
      </w:pPr>
      <w:r w:rsidRPr="005C18F7">
        <w:rPr>
          <w:rFonts w:asciiTheme="minorHAnsi" w:eastAsia="Calibri" w:hAnsiTheme="minorHAnsi" w:cs="Calibri"/>
          <w:sz w:val="24"/>
          <w:szCs w:val="24"/>
        </w:rPr>
        <w:t>Supporting Actions:</w:t>
      </w:r>
    </w:p>
    <w:p w:rsidR="0082430B" w:rsidRPr="00D03372" w:rsidRDefault="0082430B" w:rsidP="00E30CA3">
      <w:pPr>
        <w:pStyle w:val="ListParagraph"/>
        <w:numPr>
          <w:ilvl w:val="0"/>
          <w:numId w:val="24"/>
        </w:numPr>
        <w:rPr>
          <w:rFonts w:asciiTheme="minorHAnsi" w:eastAsia="Arial" w:hAnsiTheme="minorHAnsi" w:cs="Arial"/>
          <w:sz w:val="24"/>
          <w:szCs w:val="24"/>
        </w:rPr>
      </w:pPr>
      <w:r w:rsidRPr="00D03372">
        <w:rPr>
          <w:rFonts w:asciiTheme="minorHAnsi" w:eastAsia="Arial" w:hAnsiTheme="minorHAnsi" w:cs="Arial"/>
          <w:sz w:val="24"/>
          <w:szCs w:val="24"/>
        </w:rPr>
        <w:t>Prov</w:t>
      </w:r>
      <w:r w:rsidR="00D03372" w:rsidRPr="00D03372">
        <w:rPr>
          <w:rFonts w:asciiTheme="minorHAnsi" w:eastAsia="Arial" w:hAnsiTheme="minorHAnsi" w:cs="Arial"/>
          <w:sz w:val="24"/>
          <w:szCs w:val="24"/>
        </w:rPr>
        <w:t>ide professional development to increase cultural competency</w:t>
      </w:r>
    </w:p>
    <w:p w:rsidR="0082430B" w:rsidRPr="00D03372" w:rsidRDefault="0082430B" w:rsidP="00E30CA3">
      <w:pPr>
        <w:pStyle w:val="ListParagraph"/>
        <w:numPr>
          <w:ilvl w:val="0"/>
          <w:numId w:val="24"/>
        </w:numPr>
        <w:rPr>
          <w:rFonts w:asciiTheme="minorHAnsi" w:eastAsia="Arial" w:hAnsiTheme="minorHAnsi" w:cs="Arial"/>
          <w:sz w:val="24"/>
          <w:szCs w:val="24"/>
        </w:rPr>
      </w:pPr>
      <w:r w:rsidRPr="00D03372">
        <w:rPr>
          <w:rFonts w:asciiTheme="minorHAnsi" w:eastAsia="Arial" w:hAnsiTheme="minorHAnsi" w:cs="Arial"/>
          <w:sz w:val="24"/>
          <w:szCs w:val="24"/>
        </w:rPr>
        <w:t>Create and enhance programs and services for disproportionately impacted groups.</w:t>
      </w:r>
    </w:p>
    <w:p w:rsidR="0082430B" w:rsidRPr="00D03372" w:rsidRDefault="00D03372" w:rsidP="00E30CA3">
      <w:pPr>
        <w:pStyle w:val="ListParagraph"/>
        <w:numPr>
          <w:ilvl w:val="0"/>
          <w:numId w:val="24"/>
        </w:numPr>
        <w:rPr>
          <w:rFonts w:asciiTheme="minorHAnsi" w:eastAsia="Arial" w:hAnsiTheme="minorHAnsi" w:cs="Arial"/>
          <w:sz w:val="24"/>
          <w:szCs w:val="24"/>
        </w:rPr>
      </w:pPr>
      <w:r>
        <w:rPr>
          <w:rFonts w:asciiTheme="minorHAnsi" w:eastAsia="Arial" w:hAnsiTheme="minorHAnsi" w:cs="Arial"/>
          <w:sz w:val="24"/>
          <w:szCs w:val="24"/>
        </w:rPr>
        <w:t>Increase the number of</w:t>
      </w:r>
      <w:r w:rsidR="0082430B" w:rsidRPr="00D03372">
        <w:rPr>
          <w:rFonts w:asciiTheme="minorHAnsi" w:eastAsia="Arial" w:hAnsiTheme="minorHAnsi" w:cs="Arial"/>
          <w:sz w:val="24"/>
          <w:szCs w:val="24"/>
        </w:rPr>
        <w:t xml:space="preserve"> CHC students </w:t>
      </w:r>
      <w:r>
        <w:rPr>
          <w:rFonts w:asciiTheme="minorHAnsi" w:eastAsia="Arial" w:hAnsiTheme="minorHAnsi" w:cs="Arial"/>
          <w:sz w:val="24"/>
          <w:szCs w:val="24"/>
        </w:rPr>
        <w:t>and employees who</w:t>
      </w:r>
      <w:r w:rsidR="0082430B" w:rsidRPr="00D03372">
        <w:rPr>
          <w:rFonts w:asciiTheme="minorHAnsi" w:eastAsia="Arial" w:hAnsiTheme="minorHAnsi" w:cs="Arial"/>
          <w:sz w:val="24"/>
          <w:szCs w:val="24"/>
        </w:rPr>
        <w:t xml:space="preserve"> indicate they feel included in our campus community</w:t>
      </w:r>
      <w:r>
        <w:rPr>
          <w:rFonts w:asciiTheme="minorHAnsi" w:eastAsia="Arial" w:hAnsiTheme="minorHAnsi" w:cs="Arial"/>
          <w:sz w:val="24"/>
          <w:szCs w:val="24"/>
        </w:rPr>
        <w:t xml:space="preserve"> as measured by surveys</w:t>
      </w:r>
    </w:p>
    <w:p w:rsidR="0082430B" w:rsidRPr="00D03372" w:rsidRDefault="0082430B" w:rsidP="00E30CA3">
      <w:pPr>
        <w:pStyle w:val="ListParagraph"/>
        <w:numPr>
          <w:ilvl w:val="0"/>
          <w:numId w:val="24"/>
        </w:numPr>
        <w:rPr>
          <w:rFonts w:asciiTheme="minorHAnsi" w:eastAsia="Arial" w:hAnsiTheme="minorHAnsi" w:cs="Arial"/>
          <w:sz w:val="24"/>
          <w:szCs w:val="24"/>
        </w:rPr>
      </w:pPr>
      <w:r w:rsidRPr="00D03372">
        <w:rPr>
          <w:rFonts w:asciiTheme="minorHAnsi" w:eastAsia="Arial" w:hAnsiTheme="minorHAnsi" w:cs="Arial"/>
          <w:sz w:val="24"/>
          <w:szCs w:val="24"/>
        </w:rPr>
        <w:t>Achieve interpersonal and Group Skills outcomes as defined by IL03</w:t>
      </w:r>
    </w:p>
    <w:p w:rsidR="0082430B" w:rsidRPr="00D03372" w:rsidRDefault="0082430B" w:rsidP="00E30CA3">
      <w:pPr>
        <w:pStyle w:val="ListParagraph"/>
        <w:numPr>
          <w:ilvl w:val="0"/>
          <w:numId w:val="24"/>
        </w:numPr>
        <w:rPr>
          <w:rFonts w:asciiTheme="minorHAnsi" w:eastAsia="Arial" w:hAnsiTheme="minorHAnsi" w:cs="Arial"/>
          <w:sz w:val="24"/>
          <w:szCs w:val="24"/>
        </w:rPr>
      </w:pPr>
      <w:r w:rsidRPr="00D03372">
        <w:rPr>
          <w:rFonts w:asciiTheme="minorHAnsi" w:eastAsia="Arial" w:hAnsiTheme="minorHAnsi" w:cs="Arial"/>
          <w:sz w:val="24"/>
          <w:szCs w:val="24"/>
        </w:rPr>
        <w:t>Increase student engagement activities</w:t>
      </w:r>
    </w:p>
    <w:p w:rsidR="0082430B" w:rsidRPr="00D03372" w:rsidRDefault="005834E2" w:rsidP="00E30CA3">
      <w:pPr>
        <w:pStyle w:val="ListParagraph"/>
        <w:numPr>
          <w:ilvl w:val="0"/>
          <w:numId w:val="24"/>
        </w:numPr>
        <w:rPr>
          <w:rFonts w:asciiTheme="minorHAnsi" w:eastAsia="Arial" w:hAnsiTheme="minorHAnsi" w:cs="Arial"/>
          <w:sz w:val="24"/>
          <w:szCs w:val="24"/>
        </w:rPr>
      </w:pPr>
      <w:r w:rsidRPr="00D03372">
        <w:rPr>
          <w:rFonts w:asciiTheme="minorHAnsi" w:eastAsia="Arial" w:hAnsiTheme="minorHAnsi" w:cs="Arial"/>
          <w:sz w:val="24"/>
          <w:szCs w:val="24"/>
        </w:rPr>
        <w:t>Improve ADA accessibility throughout campus</w:t>
      </w:r>
    </w:p>
    <w:p w:rsidR="0082430B" w:rsidRPr="00D03372" w:rsidRDefault="0082430B" w:rsidP="0082430B">
      <w:pPr>
        <w:contextualSpacing/>
        <w:rPr>
          <w:rFonts w:asciiTheme="minorHAnsi" w:eastAsia="Arial" w:hAnsiTheme="minorHAnsi" w:cs="Arial"/>
          <w:sz w:val="24"/>
          <w:szCs w:val="24"/>
        </w:rPr>
      </w:pPr>
      <w:r w:rsidRPr="00D03372">
        <w:rPr>
          <w:rFonts w:asciiTheme="minorHAnsi" w:eastAsia="Arial" w:hAnsiTheme="minorHAnsi" w:cs="Arial"/>
          <w:sz w:val="24"/>
          <w:szCs w:val="24"/>
        </w:rPr>
        <w:t xml:space="preserve"> </w:t>
      </w:r>
    </w:p>
    <w:p w:rsidR="0082430B" w:rsidRPr="00D03372" w:rsidRDefault="005834E2" w:rsidP="0082430B">
      <w:pPr>
        <w:spacing w:before="120" w:after="0"/>
        <w:contextualSpacing/>
        <w:rPr>
          <w:rFonts w:asciiTheme="minorHAnsi" w:eastAsia="Arial" w:hAnsiTheme="minorHAnsi" w:cs="Arial"/>
          <w:sz w:val="24"/>
          <w:szCs w:val="24"/>
        </w:rPr>
      </w:pPr>
      <w:r w:rsidRPr="00D03372">
        <w:rPr>
          <w:rFonts w:asciiTheme="minorHAnsi" w:eastAsia="Arial" w:hAnsiTheme="minorHAnsi" w:cs="Arial"/>
          <w:sz w:val="24"/>
          <w:szCs w:val="24"/>
        </w:rPr>
        <w:t>Goal 2:  Seek, respect and celebrate diversity</w:t>
      </w:r>
    </w:p>
    <w:p w:rsidR="005834E2" w:rsidRPr="00D03372" w:rsidRDefault="005834E2" w:rsidP="0082430B">
      <w:pPr>
        <w:spacing w:before="120" w:after="0"/>
        <w:contextualSpacing/>
        <w:rPr>
          <w:rFonts w:asciiTheme="minorHAnsi" w:eastAsia="Arial" w:hAnsiTheme="minorHAnsi" w:cs="Arial"/>
          <w:sz w:val="24"/>
          <w:szCs w:val="24"/>
        </w:rPr>
      </w:pPr>
      <w:r w:rsidRPr="00D03372">
        <w:rPr>
          <w:rFonts w:asciiTheme="minorHAnsi" w:eastAsia="Arial" w:hAnsiTheme="minorHAnsi" w:cs="Arial"/>
          <w:sz w:val="24"/>
          <w:szCs w:val="24"/>
        </w:rPr>
        <w:t>Objectives:</w:t>
      </w:r>
    </w:p>
    <w:p w:rsidR="005834E2" w:rsidRPr="00D03372" w:rsidRDefault="005834E2" w:rsidP="00E30CA3">
      <w:pPr>
        <w:pStyle w:val="ListParagraph"/>
        <w:numPr>
          <w:ilvl w:val="0"/>
          <w:numId w:val="25"/>
        </w:numPr>
        <w:spacing w:before="120" w:after="0"/>
        <w:rPr>
          <w:rFonts w:asciiTheme="minorHAnsi" w:eastAsia="Arial" w:hAnsiTheme="minorHAnsi" w:cs="Arial"/>
          <w:sz w:val="24"/>
          <w:szCs w:val="24"/>
        </w:rPr>
      </w:pPr>
      <w:r w:rsidRPr="00D03372">
        <w:rPr>
          <w:rFonts w:asciiTheme="minorHAnsi" w:eastAsia="Arial" w:hAnsiTheme="minorHAnsi" w:cs="Arial"/>
          <w:sz w:val="24"/>
          <w:szCs w:val="24"/>
        </w:rPr>
        <w:t>Increase collaboration between instruction programs and student services to improve learning for all students through universal design concepts</w:t>
      </w:r>
    </w:p>
    <w:p w:rsidR="005834E2" w:rsidRPr="00D03372" w:rsidRDefault="005834E2" w:rsidP="00E30CA3">
      <w:pPr>
        <w:pStyle w:val="ListParagraph"/>
        <w:numPr>
          <w:ilvl w:val="0"/>
          <w:numId w:val="25"/>
        </w:numPr>
        <w:spacing w:before="120" w:after="0"/>
        <w:rPr>
          <w:rFonts w:asciiTheme="minorHAnsi" w:eastAsia="Arial" w:hAnsiTheme="minorHAnsi" w:cs="Arial"/>
          <w:sz w:val="24"/>
          <w:szCs w:val="24"/>
        </w:rPr>
      </w:pPr>
      <w:r w:rsidRPr="00D03372">
        <w:rPr>
          <w:rFonts w:asciiTheme="minorHAnsi" w:eastAsia="Arial" w:hAnsiTheme="minorHAnsi" w:cs="Arial"/>
          <w:sz w:val="24"/>
          <w:szCs w:val="24"/>
        </w:rPr>
        <w:t>Increase number of students who demonstrate competency in social and cultural awareness as defined by IL04</w:t>
      </w:r>
    </w:p>
    <w:p w:rsidR="005834E2" w:rsidRPr="00D03372" w:rsidRDefault="005834E2" w:rsidP="00E30CA3">
      <w:pPr>
        <w:pStyle w:val="ListParagraph"/>
        <w:numPr>
          <w:ilvl w:val="0"/>
          <w:numId w:val="25"/>
        </w:numPr>
        <w:spacing w:before="120" w:after="0"/>
        <w:rPr>
          <w:rFonts w:asciiTheme="minorHAnsi" w:eastAsia="Arial" w:hAnsiTheme="minorHAnsi" w:cs="Arial"/>
          <w:sz w:val="24"/>
          <w:szCs w:val="24"/>
        </w:rPr>
      </w:pPr>
      <w:r w:rsidRPr="00D03372">
        <w:rPr>
          <w:rFonts w:asciiTheme="minorHAnsi" w:eastAsia="Arial" w:hAnsiTheme="minorHAnsi" w:cs="Arial"/>
          <w:sz w:val="24"/>
          <w:szCs w:val="24"/>
        </w:rPr>
        <w:t>Increase number of students who demonstrate competency in ethical and values appreciation as defined by IL03</w:t>
      </w:r>
    </w:p>
    <w:p w:rsidR="0082430B" w:rsidRPr="00882FFD" w:rsidRDefault="0082430B" w:rsidP="0081032A">
      <w:pPr>
        <w:contextualSpacing/>
        <w:rPr>
          <w:rFonts w:ascii="Arial" w:eastAsia="Arial" w:hAnsi="Arial" w:cs="Arial"/>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8D6ACD" w:rsidRDefault="008D6ACD" w:rsidP="008D6ACD">
      <w:pPr>
        <w:rPr>
          <w:rFonts w:asciiTheme="minorHAnsi" w:eastAsia="Arial" w:hAnsiTheme="minorHAnsi" w:cs="Arial"/>
          <w:b/>
          <w:sz w:val="24"/>
          <w:szCs w:val="24"/>
        </w:rPr>
      </w:pPr>
    </w:p>
    <w:p w:rsidR="00AD1889" w:rsidRPr="008D6ACD" w:rsidRDefault="00136838" w:rsidP="008D6ACD">
      <w:pPr>
        <w:rPr>
          <w:rFonts w:asciiTheme="minorHAnsi" w:eastAsia="Arial" w:hAnsiTheme="minorHAnsi" w:cs="Arial"/>
          <w:b/>
          <w:sz w:val="24"/>
          <w:szCs w:val="24"/>
        </w:rPr>
      </w:pPr>
      <w:r w:rsidRPr="00D03372">
        <w:rPr>
          <w:rFonts w:asciiTheme="minorHAnsi" w:eastAsia="Arial" w:hAnsiTheme="minorHAnsi" w:cs="Arial"/>
          <w:b/>
          <w:sz w:val="24"/>
          <w:szCs w:val="24"/>
        </w:rPr>
        <w:lastRenderedPageBreak/>
        <w:t>SD 3: Develop Teaching and Learning Practices</w:t>
      </w:r>
    </w:p>
    <w:p w:rsidR="00AD1889" w:rsidRPr="00D03372" w:rsidRDefault="00136838">
      <w:pPr>
        <w:keepNext/>
        <w:keepLines/>
        <w:spacing w:before="120" w:after="0" w:line="276" w:lineRule="auto"/>
        <w:rPr>
          <w:rFonts w:asciiTheme="minorHAnsi" w:hAnsiTheme="minorHAnsi"/>
          <w:sz w:val="24"/>
          <w:szCs w:val="24"/>
        </w:rPr>
      </w:pPr>
      <w:r w:rsidRPr="00D03372">
        <w:rPr>
          <w:rFonts w:asciiTheme="minorHAnsi" w:eastAsia="Arial" w:hAnsiTheme="minorHAnsi" w:cs="Arial"/>
          <w:sz w:val="24"/>
          <w:szCs w:val="24"/>
        </w:rPr>
        <w:t>CHC promotes innovative and effective teaching and learning strategies.</w:t>
      </w:r>
    </w:p>
    <w:p w:rsidR="003810F0" w:rsidRDefault="003810F0" w:rsidP="005834E2">
      <w:pPr>
        <w:keepNext/>
        <w:keepLines/>
        <w:spacing w:after="0" w:line="276" w:lineRule="auto"/>
        <w:contextualSpacing/>
        <w:rPr>
          <w:rFonts w:asciiTheme="minorHAnsi" w:eastAsia="Arial" w:hAnsiTheme="minorHAnsi" w:cs="Arial"/>
          <w:sz w:val="24"/>
          <w:szCs w:val="24"/>
        </w:rPr>
      </w:pPr>
    </w:p>
    <w:p w:rsidR="005834E2" w:rsidRPr="00D03372" w:rsidRDefault="005834E2" w:rsidP="005834E2">
      <w:pPr>
        <w:keepNext/>
        <w:keepLines/>
        <w:spacing w:after="0" w:line="276" w:lineRule="auto"/>
        <w:contextualSpacing/>
        <w:rPr>
          <w:rFonts w:asciiTheme="minorHAnsi" w:eastAsia="Arial" w:hAnsiTheme="minorHAnsi" w:cs="Arial"/>
          <w:sz w:val="24"/>
          <w:szCs w:val="24"/>
        </w:rPr>
      </w:pPr>
      <w:r w:rsidRPr="00D03372">
        <w:rPr>
          <w:rFonts w:asciiTheme="minorHAnsi" w:eastAsia="Arial" w:hAnsiTheme="minorHAnsi" w:cs="Arial"/>
          <w:sz w:val="24"/>
          <w:szCs w:val="24"/>
        </w:rPr>
        <w:t>Goal 1: Develop a culture of mastery in teaching.</w:t>
      </w:r>
    </w:p>
    <w:p w:rsidR="003810F0" w:rsidRPr="003810F0" w:rsidRDefault="003810F0" w:rsidP="003810F0">
      <w:pPr>
        <w:rPr>
          <w:rFonts w:asciiTheme="minorHAnsi" w:eastAsia="Calibri" w:hAnsiTheme="minorHAnsi" w:cs="Calibri"/>
          <w:sz w:val="24"/>
          <w:szCs w:val="24"/>
        </w:rPr>
      </w:pPr>
      <w:r w:rsidRPr="003810F0">
        <w:rPr>
          <w:rFonts w:asciiTheme="minorHAnsi" w:eastAsia="Calibri" w:hAnsiTheme="minorHAnsi" w:cs="Calibri"/>
          <w:sz w:val="24"/>
          <w:szCs w:val="24"/>
        </w:rPr>
        <w:t>Supporting Actions:</w:t>
      </w:r>
    </w:p>
    <w:p w:rsidR="002C3D2B" w:rsidRPr="00D03372" w:rsidRDefault="002C3D2B" w:rsidP="00E30CA3">
      <w:pPr>
        <w:keepNext/>
        <w:keepLines/>
        <w:numPr>
          <w:ilvl w:val="0"/>
          <w:numId w:val="26"/>
        </w:numPr>
        <w:spacing w:before="120" w:after="0" w:line="276" w:lineRule="auto"/>
        <w:contextualSpacing/>
        <w:rPr>
          <w:rFonts w:asciiTheme="minorHAnsi" w:hAnsiTheme="minorHAnsi"/>
          <w:sz w:val="24"/>
          <w:szCs w:val="24"/>
        </w:rPr>
      </w:pPr>
      <w:r w:rsidRPr="00D03372">
        <w:rPr>
          <w:rFonts w:asciiTheme="minorHAnsi" w:eastAsia="Arial" w:hAnsiTheme="minorHAnsi" w:cs="Arial"/>
          <w:sz w:val="24"/>
          <w:szCs w:val="24"/>
        </w:rPr>
        <w:t>Encourage and support classroom innovation</w:t>
      </w:r>
    </w:p>
    <w:p w:rsidR="002C3D2B" w:rsidRPr="00D03372" w:rsidRDefault="002C3D2B" w:rsidP="00E30CA3">
      <w:pPr>
        <w:keepNext/>
        <w:keepLines/>
        <w:numPr>
          <w:ilvl w:val="1"/>
          <w:numId w:val="26"/>
        </w:numPr>
        <w:spacing w:after="0" w:line="276" w:lineRule="auto"/>
        <w:contextualSpacing/>
        <w:rPr>
          <w:rFonts w:asciiTheme="minorHAnsi" w:hAnsiTheme="minorHAnsi"/>
          <w:sz w:val="24"/>
          <w:szCs w:val="24"/>
        </w:rPr>
      </w:pPr>
      <w:r w:rsidRPr="00D03372">
        <w:rPr>
          <w:rFonts w:asciiTheme="minorHAnsi" w:eastAsia="Arial" w:hAnsiTheme="minorHAnsi" w:cs="Arial"/>
          <w:sz w:val="24"/>
          <w:szCs w:val="24"/>
        </w:rPr>
        <w:t>Flipped classrooms</w:t>
      </w:r>
    </w:p>
    <w:p w:rsidR="002C3D2B" w:rsidRPr="00D03372" w:rsidRDefault="002C3D2B" w:rsidP="00E30CA3">
      <w:pPr>
        <w:keepNext/>
        <w:keepLines/>
        <w:numPr>
          <w:ilvl w:val="1"/>
          <w:numId w:val="26"/>
        </w:numPr>
        <w:spacing w:after="0" w:line="276" w:lineRule="auto"/>
        <w:contextualSpacing/>
        <w:rPr>
          <w:rFonts w:asciiTheme="minorHAnsi" w:hAnsiTheme="minorHAnsi"/>
          <w:sz w:val="24"/>
          <w:szCs w:val="24"/>
        </w:rPr>
      </w:pPr>
      <w:r w:rsidRPr="00D03372">
        <w:rPr>
          <w:rFonts w:asciiTheme="minorHAnsi" w:eastAsia="Arial" w:hAnsiTheme="minorHAnsi" w:cs="Arial"/>
          <w:sz w:val="24"/>
          <w:szCs w:val="24"/>
        </w:rPr>
        <w:t>Integration of electronic equipment (e.g., the Bring Your Own Device Initiative)</w:t>
      </w:r>
    </w:p>
    <w:p w:rsidR="002C3D2B" w:rsidRPr="00D03372" w:rsidRDefault="002C3D2B" w:rsidP="00E30CA3">
      <w:pPr>
        <w:keepNext/>
        <w:keepLines/>
        <w:numPr>
          <w:ilvl w:val="1"/>
          <w:numId w:val="26"/>
        </w:numPr>
        <w:spacing w:after="0" w:line="276" w:lineRule="auto"/>
        <w:contextualSpacing/>
        <w:rPr>
          <w:rFonts w:asciiTheme="minorHAnsi" w:hAnsiTheme="minorHAnsi"/>
          <w:sz w:val="24"/>
          <w:szCs w:val="24"/>
        </w:rPr>
      </w:pPr>
      <w:r w:rsidRPr="00D03372">
        <w:rPr>
          <w:rFonts w:asciiTheme="minorHAnsi" w:eastAsia="Arial" w:hAnsiTheme="minorHAnsi" w:cs="Arial"/>
          <w:sz w:val="24"/>
          <w:szCs w:val="24"/>
        </w:rPr>
        <w:t>Flexibly arranged classrooms</w:t>
      </w:r>
    </w:p>
    <w:p w:rsidR="002C3D2B" w:rsidRPr="00D03372" w:rsidRDefault="002C3D2B" w:rsidP="00E30CA3">
      <w:pPr>
        <w:keepNext/>
        <w:keepLines/>
        <w:numPr>
          <w:ilvl w:val="1"/>
          <w:numId w:val="26"/>
        </w:numPr>
        <w:spacing w:after="0" w:line="276" w:lineRule="auto"/>
        <w:contextualSpacing/>
        <w:rPr>
          <w:rFonts w:asciiTheme="minorHAnsi" w:hAnsiTheme="minorHAnsi"/>
          <w:sz w:val="24"/>
          <w:szCs w:val="24"/>
        </w:rPr>
      </w:pPr>
      <w:r w:rsidRPr="00D03372">
        <w:rPr>
          <w:rFonts w:asciiTheme="minorHAnsi" w:eastAsia="Arial" w:hAnsiTheme="minorHAnsi" w:cs="Arial"/>
          <w:sz w:val="24"/>
          <w:szCs w:val="24"/>
        </w:rPr>
        <w:t>Identification and sharing of best practices and other topics of professional interest among colleagues will continue to be important means of professional development</w:t>
      </w:r>
    </w:p>
    <w:p w:rsidR="005834E2" w:rsidRPr="00D03372" w:rsidRDefault="005834E2" w:rsidP="00E30CA3">
      <w:pPr>
        <w:pStyle w:val="ListParagraph"/>
        <w:keepNext/>
        <w:keepLines/>
        <w:numPr>
          <w:ilvl w:val="0"/>
          <w:numId w:val="26"/>
        </w:numPr>
        <w:spacing w:after="0" w:line="276" w:lineRule="auto"/>
        <w:rPr>
          <w:rFonts w:asciiTheme="minorHAnsi" w:hAnsiTheme="minorHAnsi" w:cs="Arial"/>
          <w:sz w:val="24"/>
          <w:szCs w:val="24"/>
        </w:rPr>
      </w:pPr>
      <w:r w:rsidRPr="00D03372">
        <w:rPr>
          <w:rFonts w:asciiTheme="minorHAnsi" w:hAnsiTheme="minorHAnsi" w:cs="Arial"/>
          <w:sz w:val="24"/>
          <w:szCs w:val="24"/>
        </w:rPr>
        <w:t>Increase full time faculty who participate in PD programming focused on pedagogy</w:t>
      </w:r>
    </w:p>
    <w:p w:rsidR="005834E2" w:rsidRPr="00D03372" w:rsidRDefault="005834E2" w:rsidP="00E30CA3">
      <w:pPr>
        <w:pStyle w:val="ListParagraph"/>
        <w:keepNext/>
        <w:keepLines/>
        <w:numPr>
          <w:ilvl w:val="0"/>
          <w:numId w:val="26"/>
        </w:numPr>
        <w:spacing w:after="0" w:line="276" w:lineRule="auto"/>
        <w:rPr>
          <w:rFonts w:asciiTheme="minorHAnsi" w:hAnsiTheme="minorHAnsi" w:cs="Arial"/>
          <w:sz w:val="24"/>
          <w:szCs w:val="24"/>
        </w:rPr>
      </w:pPr>
      <w:r w:rsidRPr="00D03372">
        <w:rPr>
          <w:rFonts w:asciiTheme="minorHAnsi" w:hAnsiTheme="minorHAnsi" w:cs="Arial"/>
          <w:sz w:val="24"/>
          <w:szCs w:val="24"/>
        </w:rPr>
        <w:t>Increase part-time faculty who participate in PD programming focused on pedagogy</w:t>
      </w:r>
    </w:p>
    <w:p w:rsidR="005834E2" w:rsidRPr="00D03372" w:rsidRDefault="005834E2" w:rsidP="00E30CA3">
      <w:pPr>
        <w:pStyle w:val="ListParagraph"/>
        <w:keepNext/>
        <w:keepLines/>
        <w:numPr>
          <w:ilvl w:val="0"/>
          <w:numId w:val="26"/>
        </w:numPr>
        <w:spacing w:after="0" w:line="276" w:lineRule="auto"/>
        <w:rPr>
          <w:rFonts w:asciiTheme="minorHAnsi" w:hAnsiTheme="minorHAnsi" w:cs="Arial"/>
          <w:sz w:val="24"/>
          <w:szCs w:val="24"/>
        </w:rPr>
      </w:pPr>
      <w:r w:rsidRPr="00D03372">
        <w:rPr>
          <w:rFonts w:asciiTheme="minorHAnsi" w:hAnsiTheme="minorHAnsi" w:cs="Arial"/>
          <w:sz w:val="24"/>
          <w:szCs w:val="24"/>
        </w:rPr>
        <w:t>Make sure all new faculty participate in a comprehensive orientation with emphasis on pedagogy (or andragogy)</w:t>
      </w:r>
    </w:p>
    <w:p w:rsidR="005834E2" w:rsidRPr="00D03372" w:rsidRDefault="005834E2" w:rsidP="005834E2">
      <w:pPr>
        <w:keepNext/>
        <w:keepLines/>
        <w:spacing w:after="0" w:line="276" w:lineRule="auto"/>
        <w:rPr>
          <w:rFonts w:asciiTheme="minorHAnsi" w:hAnsiTheme="minorHAnsi" w:cs="Arial"/>
          <w:sz w:val="24"/>
          <w:szCs w:val="24"/>
        </w:rPr>
      </w:pPr>
    </w:p>
    <w:p w:rsidR="005834E2" w:rsidRPr="00D03372" w:rsidRDefault="005834E2" w:rsidP="005834E2">
      <w:pPr>
        <w:keepNext/>
        <w:keepLines/>
        <w:spacing w:after="0" w:line="276" w:lineRule="auto"/>
        <w:rPr>
          <w:rFonts w:asciiTheme="minorHAnsi" w:hAnsiTheme="minorHAnsi" w:cs="Arial"/>
          <w:sz w:val="24"/>
          <w:szCs w:val="24"/>
        </w:rPr>
      </w:pPr>
      <w:r w:rsidRPr="00D03372">
        <w:rPr>
          <w:rFonts w:asciiTheme="minorHAnsi" w:hAnsiTheme="minorHAnsi" w:cs="Arial"/>
          <w:sz w:val="24"/>
          <w:szCs w:val="24"/>
        </w:rPr>
        <w:t>Goal 2: Teach students to be great learners</w:t>
      </w:r>
    </w:p>
    <w:p w:rsidR="003810F0" w:rsidRPr="003810F0" w:rsidRDefault="003810F0" w:rsidP="003810F0">
      <w:pPr>
        <w:rPr>
          <w:rFonts w:asciiTheme="minorHAnsi" w:eastAsia="Calibri" w:hAnsiTheme="minorHAnsi" w:cs="Calibri"/>
          <w:sz w:val="24"/>
          <w:szCs w:val="24"/>
        </w:rPr>
      </w:pPr>
      <w:r w:rsidRPr="003810F0">
        <w:rPr>
          <w:rFonts w:asciiTheme="minorHAnsi" w:eastAsia="Calibri" w:hAnsiTheme="minorHAnsi" w:cs="Calibri"/>
          <w:sz w:val="24"/>
          <w:szCs w:val="24"/>
        </w:rPr>
        <w:t>Supporting Actions:</w:t>
      </w:r>
    </w:p>
    <w:p w:rsidR="002C3D2B" w:rsidRPr="00D03372" w:rsidRDefault="002C3D2B" w:rsidP="00E30CA3">
      <w:pPr>
        <w:pStyle w:val="ListParagraph"/>
        <w:numPr>
          <w:ilvl w:val="0"/>
          <w:numId w:val="27"/>
        </w:numPr>
        <w:spacing w:after="0" w:line="276" w:lineRule="auto"/>
        <w:rPr>
          <w:rFonts w:asciiTheme="minorHAnsi" w:hAnsiTheme="minorHAnsi" w:cs="Arial"/>
          <w:sz w:val="24"/>
          <w:szCs w:val="24"/>
        </w:rPr>
      </w:pPr>
      <w:r w:rsidRPr="00D03372">
        <w:rPr>
          <w:rFonts w:asciiTheme="minorHAnsi" w:hAnsiTheme="minorHAnsi" w:cs="Arial"/>
          <w:sz w:val="24"/>
          <w:szCs w:val="24"/>
        </w:rPr>
        <w:t>Develop positive mentoring relationships between faculty and students</w:t>
      </w:r>
    </w:p>
    <w:p w:rsidR="00AD1889" w:rsidRPr="00D03372" w:rsidRDefault="005834E2" w:rsidP="00E30CA3">
      <w:pPr>
        <w:pStyle w:val="ListParagraph"/>
        <w:numPr>
          <w:ilvl w:val="0"/>
          <w:numId w:val="27"/>
        </w:numPr>
        <w:spacing w:after="0" w:line="276" w:lineRule="auto"/>
        <w:rPr>
          <w:rFonts w:asciiTheme="minorHAnsi" w:hAnsiTheme="minorHAnsi" w:cs="Arial"/>
          <w:sz w:val="24"/>
          <w:szCs w:val="24"/>
        </w:rPr>
      </w:pPr>
      <w:r w:rsidRPr="00D03372">
        <w:rPr>
          <w:rFonts w:asciiTheme="minorHAnsi" w:hAnsiTheme="minorHAnsi" w:cs="Arial"/>
          <w:sz w:val="24"/>
          <w:szCs w:val="24"/>
        </w:rPr>
        <w:t>Increase the number of students who achieve the “Critical Thinking” outcomes as defined by IL01</w:t>
      </w:r>
    </w:p>
    <w:p w:rsidR="005834E2" w:rsidRPr="00D03372" w:rsidRDefault="005834E2" w:rsidP="00E30CA3">
      <w:pPr>
        <w:pStyle w:val="ListParagraph"/>
        <w:numPr>
          <w:ilvl w:val="0"/>
          <w:numId w:val="27"/>
        </w:numPr>
        <w:spacing w:after="0" w:line="276" w:lineRule="auto"/>
        <w:rPr>
          <w:rFonts w:asciiTheme="minorHAnsi" w:hAnsiTheme="minorHAnsi" w:cs="Arial"/>
          <w:sz w:val="24"/>
          <w:szCs w:val="24"/>
        </w:rPr>
      </w:pPr>
      <w:r w:rsidRPr="00D03372">
        <w:rPr>
          <w:rFonts w:asciiTheme="minorHAnsi" w:hAnsiTheme="minorHAnsi" w:cs="Arial"/>
          <w:sz w:val="24"/>
          <w:szCs w:val="24"/>
        </w:rPr>
        <w:t>Increase the number of students who achieve Written and Oral Communication outcomes as defined by IL02</w:t>
      </w:r>
    </w:p>
    <w:p w:rsidR="00AD1889" w:rsidRPr="008D6ACD" w:rsidRDefault="005834E2" w:rsidP="008D6ACD">
      <w:pPr>
        <w:pStyle w:val="ListParagraph"/>
        <w:numPr>
          <w:ilvl w:val="0"/>
          <w:numId w:val="27"/>
        </w:numPr>
        <w:spacing w:after="0" w:line="276" w:lineRule="auto"/>
        <w:rPr>
          <w:rFonts w:asciiTheme="minorHAnsi" w:hAnsiTheme="minorHAnsi" w:cs="Arial"/>
          <w:sz w:val="24"/>
          <w:szCs w:val="24"/>
        </w:rPr>
      </w:pPr>
      <w:r w:rsidRPr="00D03372">
        <w:rPr>
          <w:rFonts w:asciiTheme="minorHAnsi" w:hAnsiTheme="minorHAnsi" w:cs="Arial"/>
          <w:sz w:val="24"/>
          <w:szCs w:val="24"/>
        </w:rPr>
        <w:t>Increase the number of students who achieve Information Literacy outcomes as defined by IL05</w:t>
      </w:r>
    </w:p>
    <w:p w:rsidR="00AD1889" w:rsidRPr="002C3D2B" w:rsidRDefault="00136838">
      <w:pPr>
        <w:keepNext/>
        <w:keepLines/>
        <w:spacing w:before="360" w:after="0" w:line="276" w:lineRule="auto"/>
        <w:rPr>
          <w:rFonts w:asciiTheme="minorHAnsi" w:hAnsiTheme="minorHAnsi"/>
          <w:sz w:val="24"/>
          <w:szCs w:val="24"/>
        </w:rPr>
      </w:pPr>
      <w:r w:rsidRPr="002C3D2B">
        <w:rPr>
          <w:rFonts w:asciiTheme="minorHAnsi" w:eastAsia="Arial" w:hAnsiTheme="minorHAnsi" w:cs="Arial"/>
          <w:b/>
          <w:sz w:val="24"/>
          <w:szCs w:val="24"/>
        </w:rPr>
        <w:lastRenderedPageBreak/>
        <w:t>SD 4: Expand Access</w:t>
      </w:r>
    </w:p>
    <w:p w:rsidR="00AD1889" w:rsidRPr="002C3D2B" w:rsidRDefault="00136838">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CHC is dedicated to increasing the community’s college-going rate and will promote equitable access to higher education.</w:t>
      </w:r>
    </w:p>
    <w:p w:rsidR="00AD1889" w:rsidRPr="002C3D2B" w:rsidRDefault="00AD1889">
      <w:pPr>
        <w:keepNext/>
        <w:keepLines/>
        <w:spacing w:after="0" w:line="276" w:lineRule="auto"/>
        <w:rPr>
          <w:rFonts w:asciiTheme="minorHAnsi" w:hAnsiTheme="minorHAnsi" w:cs="Arial"/>
          <w:sz w:val="24"/>
          <w:szCs w:val="24"/>
        </w:rPr>
      </w:pPr>
    </w:p>
    <w:p w:rsidR="005834E2" w:rsidRPr="002C3D2B" w:rsidRDefault="005834E2">
      <w:pPr>
        <w:keepNext/>
        <w:keepLines/>
        <w:spacing w:after="0" w:line="276" w:lineRule="auto"/>
        <w:rPr>
          <w:rFonts w:asciiTheme="minorHAnsi" w:hAnsiTheme="minorHAnsi" w:cs="Arial"/>
          <w:sz w:val="24"/>
          <w:szCs w:val="24"/>
        </w:rPr>
      </w:pPr>
      <w:r w:rsidRPr="002C3D2B">
        <w:rPr>
          <w:rFonts w:asciiTheme="minorHAnsi" w:hAnsiTheme="minorHAnsi" w:cs="Arial"/>
          <w:sz w:val="24"/>
          <w:szCs w:val="24"/>
        </w:rPr>
        <w:t>Goal 1: Promote a college-going culture in our core service area</w:t>
      </w:r>
    </w:p>
    <w:p w:rsidR="003810F0" w:rsidRDefault="003810F0">
      <w:pPr>
        <w:keepNext/>
        <w:keepLines/>
        <w:spacing w:after="0" w:line="276" w:lineRule="auto"/>
        <w:rPr>
          <w:rFonts w:asciiTheme="minorHAnsi" w:hAnsiTheme="minorHAnsi" w:cs="Arial"/>
          <w:sz w:val="24"/>
          <w:szCs w:val="24"/>
        </w:rPr>
      </w:pPr>
      <w:r>
        <w:rPr>
          <w:rFonts w:asciiTheme="minorHAnsi" w:hAnsiTheme="minorHAnsi" w:cs="Arial"/>
          <w:sz w:val="24"/>
          <w:szCs w:val="24"/>
        </w:rPr>
        <w:t>Supporting Actions:</w:t>
      </w:r>
    </w:p>
    <w:p w:rsidR="00FF3AB6" w:rsidRPr="00FF3AB6" w:rsidRDefault="00FF3AB6" w:rsidP="00E30CA3">
      <w:pPr>
        <w:pStyle w:val="ListParagraph"/>
        <w:keepNext/>
        <w:keepLines/>
        <w:numPr>
          <w:ilvl w:val="0"/>
          <w:numId w:val="28"/>
        </w:numPr>
        <w:spacing w:after="0" w:line="276" w:lineRule="auto"/>
        <w:rPr>
          <w:rFonts w:asciiTheme="minorHAnsi" w:hAnsiTheme="minorHAnsi"/>
          <w:sz w:val="24"/>
          <w:szCs w:val="24"/>
        </w:rPr>
      </w:pPr>
      <w:r w:rsidRPr="00FF3AB6">
        <w:rPr>
          <w:rFonts w:asciiTheme="minorHAnsi" w:eastAsia="Arial" w:hAnsiTheme="minorHAnsi" w:cs="Arial"/>
          <w:sz w:val="24"/>
          <w:szCs w:val="24"/>
        </w:rPr>
        <w:t>Participate actively in the Regional Adult Education Consortium</w:t>
      </w:r>
    </w:p>
    <w:p w:rsidR="00FF3AB6" w:rsidRPr="00FF3AB6" w:rsidRDefault="00FF3AB6" w:rsidP="00E30CA3">
      <w:pPr>
        <w:pStyle w:val="ListParagraph"/>
        <w:keepNext/>
        <w:keepLines/>
        <w:numPr>
          <w:ilvl w:val="0"/>
          <w:numId w:val="28"/>
        </w:numPr>
        <w:spacing w:after="0" w:line="276" w:lineRule="auto"/>
        <w:rPr>
          <w:rFonts w:asciiTheme="minorHAnsi" w:hAnsiTheme="minorHAnsi"/>
          <w:sz w:val="24"/>
          <w:szCs w:val="24"/>
        </w:rPr>
      </w:pPr>
      <w:r w:rsidRPr="00FF3AB6">
        <w:rPr>
          <w:rFonts w:asciiTheme="minorHAnsi" w:eastAsia="Arial" w:hAnsiTheme="minorHAnsi" w:cs="Arial"/>
          <w:sz w:val="24"/>
          <w:szCs w:val="24"/>
        </w:rPr>
        <w:t>Make working with feeder high schools a high priority</w:t>
      </w:r>
    </w:p>
    <w:p w:rsidR="00FF3AB6" w:rsidRPr="00FF3AB6" w:rsidRDefault="00FF3AB6" w:rsidP="00E30CA3">
      <w:pPr>
        <w:pStyle w:val="ListParagraph"/>
        <w:keepNext/>
        <w:keepLines/>
        <w:numPr>
          <w:ilvl w:val="0"/>
          <w:numId w:val="28"/>
        </w:numPr>
        <w:spacing w:after="0" w:line="276" w:lineRule="auto"/>
        <w:rPr>
          <w:rFonts w:asciiTheme="minorHAnsi" w:hAnsiTheme="minorHAnsi"/>
          <w:sz w:val="24"/>
          <w:szCs w:val="24"/>
        </w:rPr>
      </w:pPr>
      <w:r w:rsidRPr="00FF3AB6">
        <w:rPr>
          <w:rFonts w:asciiTheme="minorHAnsi" w:eastAsia="Arial" w:hAnsiTheme="minorHAnsi" w:cs="Arial"/>
          <w:sz w:val="24"/>
          <w:szCs w:val="24"/>
        </w:rPr>
        <w:t xml:space="preserve">Take advantage of </w:t>
      </w:r>
      <w:r w:rsidR="00FB6DA3">
        <w:rPr>
          <w:rFonts w:asciiTheme="minorHAnsi" w:eastAsia="Arial" w:hAnsiTheme="minorHAnsi" w:cs="Arial"/>
          <w:sz w:val="24"/>
          <w:szCs w:val="24"/>
        </w:rPr>
        <w:t>state</w:t>
      </w:r>
      <w:r w:rsidRPr="00FF3AB6">
        <w:rPr>
          <w:rFonts w:asciiTheme="minorHAnsi" w:eastAsia="Arial" w:hAnsiTheme="minorHAnsi" w:cs="Arial"/>
          <w:sz w:val="24"/>
          <w:szCs w:val="24"/>
        </w:rPr>
        <w:t xml:space="preserve"> initiatives to address workforce training for high-end jobs</w:t>
      </w:r>
    </w:p>
    <w:p w:rsidR="00BF72F8" w:rsidRPr="002C3D2B" w:rsidRDefault="00BF72F8" w:rsidP="00E30CA3">
      <w:pPr>
        <w:pStyle w:val="ListParagraph"/>
        <w:keepNext/>
        <w:keepLines/>
        <w:numPr>
          <w:ilvl w:val="0"/>
          <w:numId w:val="28"/>
        </w:numPr>
        <w:spacing w:after="0" w:line="276" w:lineRule="auto"/>
        <w:rPr>
          <w:rFonts w:asciiTheme="minorHAnsi" w:hAnsiTheme="minorHAnsi" w:cs="Arial"/>
          <w:sz w:val="24"/>
          <w:szCs w:val="24"/>
        </w:rPr>
      </w:pPr>
      <w:r w:rsidRPr="002C3D2B">
        <w:rPr>
          <w:rFonts w:asciiTheme="minorHAnsi" w:hAnsiTheme="minorHAnsi" w:cs="Arial"/>
          <w:sz w:val="24"/>
          <w:szCs w:val="24"/>
        </w:rPr>
        <w:t>Increase number of community members who attend CHC</w:t>
      </w:r>
    </w:p>
    <w:p w:rsidR="00BF72F8" w:rsidRPr="002C3D2B" w:rsidRDefault="00BF72F8" w:rsidP="00E30CA3">
      <w:pPr>
        <w:pStyle w:val="ListParagraph"/>
        <w:keepNext/>
        <w:keepLines/>
        <w:numPr>
          <w:ilvl w:val="0"/>
          <w:numId w:val="28"/>
        </w:numPr>
        <w:spacing w:after="0" w:line="276" w:lineRule="auto"/>
        <w:rPr>
          <w:rFonts w:asciiTheme="minorHAnsi" w:hAnsiTheme="minorHAnsi" w:cs="Arial"/>
          <w:sz w:val="24"/>
          <w:szCs w:val="24"/>
        </w:rPr>
      </w:pPr>
      <w:r w:rsidRPr="002C3D2B">
        <w:rPr>
          <w:rFonts w:asciiTheme="minorHAnsi" w:hAnsiTheme="minorHAnsi" w:cs="Arial"/>
          <w:sz w:val="24"/>
          <w:szCs w:val="24"/>
        </w:rPr>
        <w:t>Increase the number of residents who see college as vital to a successful future</w:t>
      </w:r>
    </w:p>
    <w:p w:rsidR="00BF72F8" w:rsidRPr="002C3D2B" w:rsidRDefault="00BF72F8" w:rsidP="00E30CA3">
      <w:pPr>
        <w:pStyle w:val="ListParagraph"/>
        <w:keepNext/>
        <w:keepLines/>
        <w:numPr>
          <w:ilvl w:val="0"/>
          <w:numId w:val="28"/>
        </w:numPr>
        <w:spacing w:after="0" w:line="276" w:lineRule="auto"/>
        <w:rPr>
          <w:rFonts w:asciiTheme="minorHAnsi" w:hAnsiTheme="minorHAnsi" w:cs="Arial"/>
          <w:sz w:val="24"/>
          <w:szCs w:val="24"/>
        </w:rPr>
      </w:pPr>
      <w:r w:rsidRPr="002C3D2B">
        <w:rPr>
          <w:rFonts w:asciiTheme="minorHAnsi" w:hAnsiTheme="minorHAnsi" w:cs="Arial"/>
          <w:sz w:val="24"/>
          <w:szCs w:val="24"/>
        </w:rPr>
        <w:t>Increase the use of the Transfer Center by underrepresented students</w:t>
      </w:r>
    </w:p>
    <w:p w:rsidR="00AD1889" w:rsidRPr="002C3D2B" w:rsidRDefault="00136838">
      <w:pPr>
        <w:keepNext/>
        <w:keepLines/>
        <w:spacing w:after="0" w:line="276" w:lineRule="auto"/>
        <w:rPr>
          <w:rFonts w:asciiTheme="minorHAnsi" w:hAnsiTheme="minorHAnsi"/>
          <w:sz w:val="24"/>
          <w:szCs w:val="24"/>
        </w:rPr>
      </w:pPr>
      <w:r w:rsidRPr="002C3D2B">
        <w:rPr>
          <w:rFonts w:asciiTheme="minorHAnsi" w:eastAsia="Arial" w:hAnsiTheme="minorHAnsi" w:cs="Arial"/>
          <w:sz w:val="24"/>
          <w:szCs w:val="24"/>
        </w:rPr>
        <w:t xml:space="preserve"> </w:t>
      </w:r>
    </w:p>
    <w:p w:rsidR="00BF72F8" w:rsidRPr="002C3D2B" w:rsidRDefault="00BF72F8">
      <w:pPr>
        <w:keepNext/>
        <w:keepLines/>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Goal 2: Increase college capacity to serve our core service area</w:t>
      </w:r>
    </w:p>
    <w:p w:rsidR="00BF72F8" w:rsidRPr="002C3D2B" w:rsidRDefault="00FF3AB6">
      <w:pPr>
        <w:keepNext/>
        <w:keepLines/>
        <w:spacing w:after="0" w:line="276" w:lineRule="auto"/>
        <w:rPr>
          <w:rFonts w:asciiTheme="minorHAnsi" w:eastAsia="Arial" w:hAnsiTheme="minorHAnsi" w:cs="Arial"/>
          <w:sz w:val="24"/>
          <w:szCs w:val="24"/>
        </w:rPr>
      </w:pPr>
      <w:r>
        <w:rPr>
          <w:rFonts w:asciiTheme="minorHAnsi" w:eastAsia="Arial" w:hAnsiTheme="minorHAnsi" w:cs="Arial"/>
          <w:sz w:val="24"/>
          <w:szCs w:val="24"/>
        </w:rPr>
        <w:t>Supporting Actions</w:t>
      </w:r>
      <w:r w:rsidR="00BF72F8" w:rsidRPr="002C3D2B">
        <w:rPr>
          <w:rFonts w:asciiTheme="minorHAnsi" w:eastAsia="Arial" w:hAnsiTheme="minorHAnsi" w:cs="Arial"/>
          <w:sz w:val="24"/>
          <w:szCs w:val="24"/>
        </w:rPr>
        <w:t>:</w:t>
      </w:r>
    </w:p>
    <w:p w:rsidR="00BF72F8" w:rsidRPr="002C3D2B" w:rsidRDefault="00BF72F8" w:rsidP="00E30CA3">
      <w:pPr>
        <w:pStyle w:val="ListParagraph"/>
        <w:keepNext/>
        <w:keepLines/>
        <w:numPr>
          <w:ilvl w:val="0"/>
          <w:numId w:val="29"/>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Increase courses and programs to accommodate growth</w:t>
      </w:r>
    </w:p>
    <w:p w:rsidR="00BF72F8" w:rsidRPr="002C3D2B" w:rsidRDefault="00BF72F8" w:rsidP="00E30CA3">
      <w:pPr>
        <w:pStyle w:val="ListParagraph"/>
        <w:keepNext/>
        <w:keepLines/>
        <w:numPr>
          <w:ilvl w:val="0"/>
          <w:numId w:val="29"/>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Increase services to accommodate growth</w:t>
      </w:r>
    </w:p>
    <w:p w:rsidR="00BF72F8" w:rsidRPr="002C3D2B" w:rsidRDefault="00BF72F8" w:rsidP="00E30CA3">
      <w:pPr>
        <w:pStyle w:val="ListParagraph"/>
        <w:keepNext/>
        <w:keepLines/>
        <w:numPr>
          <w:ilvl w:val="0"/>
          <w:numId w:val="29"/>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Expand alternative modes of delivery and</w:t>
      </w:r>
    </w:p>
    <w:p w:rsidR="00BF72F8" w:rsidRPr="002C3D2B" w:rsidRDefault="00BF72F8" w:rsidP="00E30CA3">
      <w:pPr>
        <w:pStyle w:val="ListParagraph"/>
        <w:keepNext/>
        <w:keepLines/>
        <w:numPr>
          <w:ilvl w:val="0"/>
          <w:numId w:val="30"/>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Increase online course offerings to serve more students in remote areas and those with scheduling limitations</w:t>
      </w: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AD1889" w:rsidRPr="002C3D2B" w:rsidRDefault="00136838">
      <w:pPr>
        <w:keepNext/>
        <w:keepLines/>
        <w:spacing w:before="360" w:after="0" w:line="276" w:lineRule="auto"/>
        <w:rPr>
          <w:rFonts w:asciiTheme="minorHAnsi" w:hAnsiTheme="minorHAnsi"/>
          <w:sz w:val="24"/>
          <w:szCs w:val="24"/>
        </w:rPr>
      </w:pPr>
      <w:r w:rsidRPr="002C3D2B">
        <w:rPr>
          <w:rFonts w:asciiTheme="minorHAnsi" w:eastAsia="Arial" w:hAnsiTheme="minorHAnsi" w:cs="Arial"/>
          <w:b/>
          <w:sz w:val="24"/>
          <w:szCs w:val="24"/>
        </w:rPr>
        <w:lastRenderedPageBreak/>
        <w:t>SD 5: Enhance Value to the Surrounding Community</w:t>
      </w:r>
    </w:p>
    <w:p w:rsidR="00AD1889" w:rsidRPr="002C3D2B" w:rsidRDefault="00136838" w:rsidP="008502C1">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CHC is actively engaged with the surrounding community.</w:t>
      </w:r>
    </w:p>
    <w:p w:rsidR="00BF72F8" w:rsidRPr="002C3D2B" w:rsidRDefault="00BF72F8" w:rsidP="008502C1">
      <w:pPr>
        <w:keepNext/>
        <w:keepLines/>
        <w:spacing w:after="0" w:line="276" w:lineRule="auto"/>
        <w:contextualSpacing/>
        <w:rPr>
          <w:rFonts w:asciiTheme="minorHAnsi" w:eastAsia="Arial" w:hAnsiTheme="minorHAnsi" w:cs="Arial"/>
          <w:sz w:val="24"/>
          <w:szCs w:val="24"/>
        </w:rPr>
      </w:pPr>
    </w:p>
    <w:p w:rsidR="00BF72F8" w:rsidRPr="002C3D2B" w:rsidRDefault="00BF72F8" w:rsidP="008502C1">
      <w:pPr>
        <w:keepNext/>
        <w:keepLines/>
        <w:spacing w:after="0" w:line="276" w:lineRule="auto"/>
        <w:contextualSpacing/>
        <w:rPr>
          <w:rFonts w:asciiTheme="minorHAnsi" w:eastAsia="Arial" w:hAnsiTheme="minorHAnsi" w:cs="Arial"/>
          <w:sz w:val="24"/>
          <w:szCs w:val="24"/>
        </w:rPr>
      </w:pPr>
      <w:r w:rsidRPr="002C3D2B">
        <w:rPr>
          <w:rFonts w:asciiTheme="minorHAnsi" w:eastAsia="Arial" w:hAnsiTheme="minorHAnsi" w:cs="Arial"/>
          <w:sz w:val="24"/>
          <w:szCs w:val="24"/>
        </w:rPr>
        <w:t>Goal 1: Be recognized as the college of choice in the communities we serve</w:t>
      </w:r>
    </w:p>
    <w:p w:rsidR="00BF72F8" w:rsidRPr="002C3D2B" w:rsidRDefault="00FF3AB6" w:rsidP="00BF72F8">
      <w:pPr>
        <w:keepNext/>
        <w:keepLines/>
        <w:spacing w:after="0" w:line="276" w:lineRule="auto"/>
        <w:contextualSpacing/>
        <w:rPr>
          <w:rFonts w:asciiTheme="minorHAnsi" w:eastAsia="Arial" w:hAnsiTheme="minorHAnsi" w:cs="Arial"/>
          <w:sz w:val="24"/>
          <w:szCs w:val="24"/>
        </w:rPr>
      </w:pPr>
      <w:r>
        <w:rPr>
          <w:rFonts w:asciiTheme="minorHAnsi" w:eastAsia="Arial" w:hAnsiTheme="minorHAnsi" w:cs="Arial"/>
          <w:sz w:val="24"/>
          <w:szCs w:val="24"/>
        </w:rPr>
        <w:t>Supporting Actions</w:t>
      </w:r>
      <w:r w:rsidR="00BF72F8" w:rsidRPr="002C3D2B">
        <w:rPr>
          <w:rFonts w:asciiTheme="minorHAnsi" w:eastAsia="Arial" w:hAnsiTheme="minorHAnsi" w:cs="Arial"/>
          <w:sz w:val="24"/>
          <w:szCs w:val="24"/>
        </w:rPr>
        <w:t>:</w:t>
      </w:r>
    </w:p>
    <w:p w:rsidR="008502C1" w:rsidRPr="00FF3AB6" w:rsidRDefault="008502C1" w:rsidP="00E30CA3">
      <w:pPr>
        <w:pStyle w:val="ListParagraph"/>
        <w:keepNext/>
        <w:keepLines/>
        <w:numPr>
          <w:ilvl w:val="0"/>
          <w:numId w:val="31"/>
        </w:numPr>
        <w:spacing w:after="0" w:line="276" w:lineRule="auto"/>
        <w:rPr>
          <w:rFonts w:asciiTheme="minorHAnsi" w:hAnsiTheme="minorHAnsi"/>
          <w:sz w:val="24"/>
          <w:szCs w:val="24"/>
        </w:rPr>
      </w:pPr>
      <w:r w:rsidRPr="00FF3AB6">
        <w:rPr>
          <w:rFonts w:asciiTheme="minorHAnsi" w:eastAsia="Arial" w:hAnsiTheme="minorHAnsi" w:cs="Arial"/>
          <w:sz w:val="24"/>
          <w:szCs w:val="24"/>
        </w:rPr>
        <w:t>Use public school connections to make the college visible to parents and community members</w:t>
      </w:r>
    </w:p>
    <w:p w:rsidR="00BF72F8" w:rsidRPr="002C3D2B" w:rsidRDefault="00BF72F8" w:rsidP="00E30CA3">
      <w:pPr>
        <w:pStyle w:val="ListParagraph"/>
        <w:keepNext/>
        <w:keepLines/>
        <w:numPr>
          <w:ilvl w:val="0"/>
          <w:numId w:val="31"/>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Enhance the CHC image through community outreach and marketing</w:t>
      </w:r>
    </w:p>
    <w:p w:rsidR="00BF72F8" w:rsidRPr="002C3D2B" w:rsidRDefault="00BF72F8" w:rsidP="00E30CA3">
      <w:pPr>
        <w:pStyle w:val="ListParagraph"/>
        <w:keepNext/>
        <w:keepLines/>
        <w:numPr>
          <w:ilvl w:val="0"/>
          <w:numId w:val="31"/>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Develop and implement a comprehensive marketing plan to increase market share</w:t>
      </w:r>
    </w:p>
    <w:p w:rsidR="008502C1" w:rsidRPr="00FF3AB6" w:rsidRDefault="008502C1" w:rsidP="00E30CA3">
      <w:pPr>
        <w:pStyle w:val="ListParagraph"/>
        <w:keepNext/>
        <w:keepLines/>
        <w:numPr>
          <w:ilvl w:val="0"/>
          <w:numId w:val="31"/>
        </w:numPr>
        <w:spacing w:after="0" w:line="276" w:lineRule="auto"/>
        <w:rPr>
          <w:rFonts w:asciiTheme="minorHAnsi" w:hAnsiTheme="minorHAnsi"/>
          <w:sz w:val="24"/>
          <w:szCs w:val="24"/>
        </w:rPr>
      </w:pPr>
      <w:r w:rsidRPr="00FF3AB6">
        <w:rPr>
          <w:rFonts w:asciiTheme="minorHAnsi" w:eastAsia="Arial" w:hAnsiTheme="minorHAnsi" w:cs="Arial"/>
          <w:sz w:val="24"/>
          <w:szCs w:val="24"/>
        </w:rPr>
        <w:t>Expand the number of student ambassadors to represent the college at schools and civic organizations to develop productive partnerships</w:t>
      </w:r>
    </w:p>
    <w:p w:rsidR="00BF72F8" w:rsidRPr="002C3D2B" w:rsidRDefault="00BF72F8" w:rsidP="00BF72F8">
      <w:pPr>
        <w:keepNext/>
        <w:keepLines/>
        <w:spacing w:after="0" w:line="276" w:lineRule="auto"/>
        <w:rPr>
          <w:rFonts w:asciiTheme="minorHAnsi" w:eastAsia="Arial" w:hAnsiTheme="minorHAnsi" w:cs="Arial"/>
          <w:sz w:val="24"/>
          <w:szCs w:val="24"/>
        </w:rPr>
      </w:pPr>
    </w:p>
    <w:p w:rsidR="00BF72F8" w:rsidRPr="002C3D2B" w:rsidRDefault="00BF72F8" w:rsidP="00BF72F8">
      <w:pPr>
        <w:keepNext/>
        <w:keepLines/>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Goal 2: Expand the reputation of CHC as an essential partner and valued asset</w:t>
      </w:r>
    </w:p>
    <w:p w:rsidR="00BF72F8" w:rsidRPr="002C3D2B" w:rsidRDefault="00FF3AB6" w:rsidP="00BF72F8">
      <w:pPr>
        <w:keepNext/>
        <w:keepLines/>
        <w:spacing w:after="0" w:line="276" w:lineRule="auto"/>
        <w:rPr>
          <w:rFonts w:asciiTheme="minorHAnsi" w:eastAsia="Arial" w:hAnsiTheme="minorHAnsi" w:cs="Arial"/>
          <w:sz w:val="24"/>
          <w:szCs w:val="24"/>
        </w:rPr>
      </w:pPr>
      <w:r>
        <w:rPr>
          <w:rFonts w:asciiTheme="minorHAnsi" w:eastAsia="Arial" w:hAnsiTheme="minorHAnsi" w:cs="Arial"/>
          <w:sz w:val="24"/>
          <w:szCs w:val="24"/>
        </w:rPr>
        <w:t>Supporting Action</w:t>
      </w:r>
      <w:r w:rsidR="00BF72F8" w:rsidRPr="002C3D2B">
        <w:rPr>
          <w:rFonts w:asciiTheme="minorHAnsi" w:eastAsia="Arial" w:hAnsiTheme="minorHAnsi" w:cs="Arial"/>
          <w:sz w:val="24"/>
          <w:szCs w:val="24"/>
        </w:rPr>
        <w:t>s:</w:t>
      </w:r>
    </w:p>
    <w:p w:rsidR="008502C1" w:rsidRPr="00FF3AB6" w:rsidRDefault="008502C1" w:rsidP="00E30CA3">
      <w:pPr>
        <w:pStyle w:val="ListParagraph"/>
        <w:keepNext/>
        <w:keepLines/>
        <w:numPr>
          <w:ilvl w:val="0"/>
          <w:numId w:val="32"/>
        </w:numPr>
        <w:spacing w:after="0" w:line="276" w:lineRule="auto"/>
        <w:rPr>
          <w:rFonts w:asciiTheme="minorHAnsi" w:hAnsiTheme="minorHAnsi"/>
          <w:sz w:val="24"/>
          <w:szCs w:val="24"/>
        </w:rPr>
      </w:pPr>
      <w:r w:rsidRPr="00FF3AB6">
        <w:rPr>
          <w:rFonts w:asciiTheme="minorHAnsi" w:eastAsia="Arial" w:hAnsiTheme="minorHAnsi" w:cs="Arial"/>
          <w:sz w:val="24"/>
          <w:szCs w:val="24"/>
        </w:rPr>
        <w:t>Invite the community to use campus facilities during down time</w:t>
      </w:r>
    </w:p>
    <w:p w:rsidR="008502C1" w:rsidRPr="00FF3AB6" w:rsidRDefault="008502C1" w:rsidP="00E30CA3">
      <w:pPr>
        <w:pStyle w:val="ListParagraph"/>
        <w:keepNext/>
        <w:keepLines/>
        <w:numPr>
          <w:ilvl w:val="0"/>
          <w:numId w:val="32"/>
        </w:numPr>
        <w:spacing w:after="0" w:line="276" w:lineRule="auto"/>
        <w:rPr>
          <w:rFonts w:asciiTheme="minorHAnsi" w:hAnsiTheme="minorHAnsi"/>
          <w:sz w:val="24"/>
          <w:szCs w:val="24"/>
        </w:rPr>
      </w:pPr>
      <w:r w:rsidRPr="00FF3AB6">
        <w:rPr>
          <w:rFonts w:asciiTheme="minorHAnsi" w:eastAsia="Arial" w:hAnsiTheme="minorHAnsi" w:cs="Arial"/>
          <w:sz w:val="24"/>
          <w:szCs w:val="24"/>
        </w:rPr>
        <w:t>Enlist the help of the college foundation in building networks of support in the community</w:t>
      </w:r>
    </w:p>
    <w:p w:rsidR="008502C1" w:rsidRPr="00FF3AB6" w:rsidRDefault="008502C1" w:rsidP="00E30CA3">
      <w:pPr>
        <w:pStyle w:val="ListParagraph"/>
        <w:keepNext/>
        <w:keepLines/>
        <w:numPr>
          <w:ilvl w:val="0"/>
          <w:numId w:val="32"/>
        </w:numPr>
        <w:spacing w:after="0" w:line="276" w:lineRule="auto"/>
        <w:rPr>
          <w:rFonts w:asciiTheme="minorHAnsi" w:hAnsiTheme="minorHAnsi"/>
          <w:sz w:val="24"/>
          <w:szCs w:val="24"/>
        </w:rPr>
      </w:pPr>
      <w:r w:rsidRPr="00FF3AB6">
        <w:rPr>
          <w:rFonts w:asciiTheme="minorHAnsi" w:eastAsia="Arial" w:hAnsiTheme="minorHAnsi" w:cs="Arial"/>
          <w:sz w:val="24"/>
          <w:szCs w:val="24"/>
        </w:rPr>
        <w:t>Pursue the feasibility of developing College Village as a multi-purpose location for education</w:t>
      </w:r>
    </w:p>
    <w:p w:rsidR="00BF72F8" w:rsidRPr="002C3D2B" w:rsidRDefault="00BF72F8" w:rsidP="00E30CA3">
      <w:pPr>
        <w:pStyle w:val="ListParagraph"/>
        <w:keepNext/>
        <w:keepLines/>
        <w:numPr>
          <w:ilvl w:val="0"/>
          <w:numId w:val="32"/>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 xml:space="preserve">Increase </w:t>
      </w:r>
      <w:r w:rsidR="004D3301" w:rsidRPr="002C3D2B">
        <w:rPr>
          <w:rFonts w:asciiTheme="minorHAnsi" w:eastAsia="Arial" w:hAnsiTheme="minorHAnsi" w:cs="Arial"/>
          <w:sz w:val="24"/>
          <w:szCs w:val="24"/>
        </w:rPr>
        <w:t>the number of community, civic and business leaders who see CHC as a valued asset</w:t>
      </w:r>
    </w:p>
    <w:p w:rsidR="004D3301" w:rsidRPr="002C3D2B" w:rsidRDefault="004D3301" w:rsidP="004D3301">
      <w:pPr>
        <w:keepNext/>
        <w:keepLines/>
        <w:spacing w:after="0" w:line="276" w:lineRule="auto"/>
        <w:rPr>
          <w:rFonts w:asciiTheme="minorHAnsi" w:eastAsia="Arial" w:hAnsiTheme="minorHAnsi" w:cs="Arial"/>
          <w:sz w:val="24"/>
          <w:szCs w:val="24"/>
        </w:rPr>
      </w:pPr>
    </w:p>
    <w:p w:rsidR="004D3301" w:rsidRPr="002C3D2B" w:rsidRDefault="004D3301" w:rsidP="004D3301">
      <w:pPr>
        <w:keepNext/>
        <w:keepLines/>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Goal 3: Distinguish CHC as a respected resource for local employers and the workplace</w:t>
      </w:r>
    </w:p>
    <w:p w:rsidR="004D3301" w:rsidRPr="002C3D2B" w:rsidRDefault="00FF3AB6" w:rsidP="004D3301">
      <w:pPr>
        <w:keepNext/>
        <w:keepLines/>
        <w:spacing w:after="0" w:line="276" w:lineRule="auto"/>
        <w:rPr>
          <w:rFonts w:asciiTheme="minorHAnsi" w:eastAsia="Arial" w:hAnsiTheme="minorHAnsi" w:cs="Arial"/>
          <w:sz w:val="24"/>
          <w:szCs w:val="24"/>
        </w:rPr>
      </w:pPr>
      <w:r>
        <w:rPr>
          <w:rFonts w:asciiTheme="minorHAnsi" w:eastAsia="Arial" w:hAnsiTheme="minorHAnsi" w:cs="Arial"/>
          <w:sz w:val="24"/>
          <w:szCs w:val="24"/>
        </w:rPr>
        <w:t>Supporting Actions</w:t>
      </w:r>
      <w:r w:rsidR="004D3301" w:rsidRPr="002C3D2B">
        <w:rPr>
          <w:rFonts w:asciiTheme="minorHAnsi" w:eastAsia="Arial" w:hAnsiTheme="minorHAnsi" w:cs="Arial"/>
          <w:sz w:val="24"/>
          <w:szCs w:val="24"/>
        </w:rPr>
        <w:t>:</w:t>
      </w:r>
    </w:p>
    <w:p w:rsidR="004D3301" w:rsidRPr="002C3D2B" w:rsidRDefault="004D3301" w:rsidP="00E30CA3">
      <w:pPr>
        <w:pStyle w:val="ListParagraph"/>
        <w:keepNext/>
        <w:keepLines/>
        <w:numPr>
          <w:ilvl w:val="0"/>
          <w:numId w:val="33"/>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Increase the number of businesses who look to CHC for new employees</w:t>
      </w:r>
    </w:p>
    <w:p w:rsidR="004D3301" w:rsidRPr="002C3D2B" w:rsidRDefault="004D3301" w:rsidP="00E30CA3">
      <w:pPr>
        <w:pStyle w:val="ListParagraph"/>
        <w:keepNext/>
        <w:keepLines/>
        <w:numPr>
          <w:ilvl w:val="0"/>
          <w:numId w:val="33"/>
        </w:numPr>
        <w:spacing w:after="0" w:line="276" w:lineRule="auto"/>
        <w:rPr>
          <w:rFonts w:asciiTheme="minorHAnsi" w:eastAsia="Arial" w:hAnsiTheme="minorHAnsi" w:cs="Arial"/>
          <w:sz w:val="24"/>
          <w:szCs w:val="24"/>
        </w:rPr>
      </w:pPr>
      <w:r w:rsidRPr="002C3D2B">
        <w:rPr>
          <w:rFonts w:asciiTheme="minorHAnsi" w:eastAsia="Arial" w:hAnsiTheme="minorHAnsi" w:cs="Arial"/>
          <w:sz w:val="24"/>
          <w:szCs w:val="24"/>
        </w:rPr>
        <w:t>Increase the number of businesses who look to CHC for employee training</w:t>
      </w:r>
    </w:p>
    <w:p w:rsidR="008502C1" w:rsidRPr="00FF3AB6" w:rsidRDefault="008502C1" w:rsidP="00E30CA3">
      <w:pPr>
        <w:pStyle w:val="ListParagraph"/>
        <w:keepNext/>
        <w:keepLines/>
        <w:numPr>
          <w:ilvl w:val="0"/>
          <w:numId w:val="33"/>
        </w:numPr>
        <w:spacing w:after="0" w:line="276" w:lineRule="auto"/>
        <w:rPr>
          <w:rFonts w:asciiTheme="minorHAnsi" w:eastAsia="Arial" w:hAnsiTheme="minorHAnsi" w:cs="Arial"/>
          <w:sz w:val="24"/>
          <w:szCs w:val="24"/>
        </w:rPr>
      </w:pPr>
      <w:r>
        <w:rPr>
          <w:rFonts w:asciiTheme="minorHAnsi" w:eastAsia="Arial" w:hAnsiTheme="minorHAnsi" w:cs="Arial"/>
          <w:sz w:val="24"/>
          <w:szCs w:val="24"/>
        </w:rPr>
        <w:t>Work with b</w:t>
      </w:r>
      <w:r w:rsidRPr="00FF3AB6">
        <w:rPr>
          <w:rFonts w:asciiTheme="minorHAnsi" w:eastAsia="Arial" w:hAnsiTheme="minorHAnsi" w:cs="Arial"/>
          <w:sz w:val="24"/>
          <w:szCs w:val="24"/>
        </w:rPr>
        <w:t xml:space="preserve">usiness and community partners </w:t>
      </w:r>
      <w:r>
        <w:rPr>
          <w:rFonts w:asciiTheme="minorHAnsi" w:eastAsia="Arial" w:hAnsiTheme="minorHAnsi" w:cs="Arial"/>
          <w:sz w:val="24"/>
          <w:szCs w:val="24"/>
        </w:rPr>
        <w:t xml:space="preserve">to </w:t>
      </w:r>
      <w:r w:rsidRPr="00FF3AB6">
        <w:rPr>
          <w:rFonts w:asciiTheme="minorHAnsi" w:eastAsia="Arial" w:hAnsiTheme="minorHAnsi" w:cs="Arial"/>
          <w:sz w:val="24"/>
          <w:szCs w:val="24"/>
        </w:rPr>
        <w:t>provide internship opportunities for our students</w:t>
      </w:r>
    </w:p>
    <w:p w:rsidR="00AD1889" w:rsidRPr="002C3D2B" w:rsidRDefault="00136838">
      <w:pPr>
        <w:spacing w:after="0" w:line="276" w:lineRule="auto"/>
        <w:ind w:left="360"/>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spacing w:after="0" w:line="276" w:lineRule="auto"/>
        <w:ind w:left="360"/>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spacing w:after="0" w:line="276" w:lineRule="auto"/>
        <w:ind w:left="360"/>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spacing w:after="0" w:line="276" w:lineRule="auto"/>
        <w:ind w:left="360"/>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keepNext/>
        <w:keepLines/>
        <w:spacing w:before="360" w:after="0" w:line="276" w:lineRule="auto"/>
        <w:rPr>
          <w:rFonts w:asciiTheme="minorHAnsi" w:hAnsiTheme="minorHAnsi"/>
          <w:sz w:val="24"/>
          <w:szCs w:val="24"/>
        </w:rPr>
      </w:pPr>
      <w:r w:rsidRPr="002C3D2B">
        <w:rPr>
          <w:rFonts w:asciiTheme="minorHAnsi" w:eastAsia="Arial" w:hAnsiTheme="minorHAnsi" w:cs="Arial"/>
          <w:b/>
          <w:sz w:val="24"/>
          <w:szCs w:val="24"/>
        </w:rPr>
        <w:lastRenderedPageBreak/>
        <w:t>SD 6: Promote Effective Decision Making</w:t>
      </w:r>
    </w:p>
    <w:p w:rsidR="00AD1889" w:rsidRPr="002C3D2B" w:rsidRDefault="00136838">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 xml:space="preserve">CHC uses decision making processes that are effective, efficient, transparent, and evidence-based. </w:t>
      </w:r>
    </w:p>
    <w:p w:rsidR="00AD1889" w:rsidRPr="002C3D2B" w:rsidRDefault="004D3301">
      <w:pPr>
        <w:keepNext/>
        <w:keepLines/>
        <w:spacing w:before="120" w:after="0" w:line="276" w:lineRule="auto"/>
        <w:rPr>
          <w:rFonts w:asciiTheme="minorHAnsi" w:eastAsia="Arial" w:hAnsiTheme="minorHAnsi" w:cs="Arial"/>
          <w:sz w:val="24"/>
          <w:szCs w:val="24"/>
        </w:rPr>
      </w:pPr>
      <w:r w:rsidRPr="002C3D2B">
        <w:rPr>
          <w:rFonts w:asciiTheme="minorHAnsi" w:eastAsia="Arial" w:hAnsiTheme="minorHAnsi" w:cs="Arial"/>
          <w:sz w:val="24"/>
          <w:szCs w:val="24"/>
        </w:rPr>
        <w:t>Goal 1: Value and engage in shared governance</w:t>
      </w:r>
    </w:p>
    <w:p w:rsidR="004D3301" w:rsidRPr="002C3D2B" w:rsidRDefault="00F124CF" w:rsidP="00A816B4">
      <w:pPr>
        <w:keepNext/>
        <w:keepLines/>
        <w:spacing w:after="0" w:line="276" w:lineRule="auto"/>
        <w:rPr>
          <w:rFonts w:asciiTheme="minorHAnsi" w:eastAsia="Arial" w:hAnsiTheme="minorHAnsi" w:cs="Arial"/>
          <w:sz w:val="24"/>
          <w:szCs w:val="24"/>
        </w:rPr>
      </w:pPr>
      <w:r>
        <w:rPr>
          <w:rFonts w:asciiTheme="minorHAnsi" w:eastAsia="Arial" w:hAnsiTheme="minorHAnsi" w:cs="Arial"/>
          <w:sz w:val="24"/>
          <w:szCs w:val="24"/>
        </w:rPr>
        <w:t>Supporting Actions</w:t>
      </w:r>
      <w:r w:rsidR="004D3301" w:rsidRPr="002C3D2B">
        <w:rPr>
          <w:rFonts w:asciiTheme="minorHAnsi" w:eastAsia="Arial" w:hAnsiTheme="minorHAnsi" w:cs="Arial"/>
          <w:sz w:val="24"/>
          <w:szCs w:val="24"/>
        </w:rPr>
        <w:t>:</w:t>
      </w:r>
    </w:p>
    <w:p w:rsidR="004D3301" w:rsidRPr="00F124CF" w:rsidRDefault="004D3301" w:rsidP="00E30CA3">
      <w:pPr>
        <w:pStyle w:val="ListParagraph"/>
        <w:keepNext/>
        <w:keepLines/>
        <w:numPr>
          <w:ilvl w:val="0"/>
          <w:numId w:val="42"/>
        </w:numPr>
        <w:spacing w:before="120" w:after="0" w:line="276" w:lineRule="auto"/>
        <w:rPr>
          <w:rFonts w:asciiTheme="minorHAnsi" w:hAnsiTheme="minorHAnsi" w:cs="Arial"/>
          <w:sz w:val="24"/>
          <w:szCs w:val="24"/>
        </w:rPr>
      </w:pPr>
      <w:r w:rsidRPr="00F124CF">
        <w:rPr>
          <w:rFonts w:asciiTheme="minorHAnsi" w:hAnsiTheme="minorHAnsi" w:cs="Arial"/>
          <w:sz w:val="24"/>
          <w:szCs w:val="24"/>
        </w:rPr>
        <w:t>Maintain/achieve a high level of employee and student engagement in local and regional shared governance committees</w:t>
      </w:r>
    </w:p>
    <w:p w:rsidR="004D3301" w:rsidRPr="002C3D2B" w:rsidRDefault="004D3301">
      <w:pPr>
        <w:keepNext/>
        <w:keepLines/>
        <w:spacing w:before="120" w:after="0" w:line="276" w:lineRule="auto"/>
        <w:rPr>
          <w:rFonts w:asciiTheme="minorHAnsi" w:eastAsia="Arial" w:hAnsiTheme="minorHAnsi" w:cs="Arial"/>
          <w:sz w:val="24"/>
          <w:szCs w:val="24"/>
        </w:rPr>
      </w:pPr>
      <w:r w:rsidRPr="002C3D2B">
        <w:rPr>
          <w:rFonts w:asciiTheme="minorHAnsi" w:eastAsia="Arial" w:hAnsiTheme="minorHAnsi" w:cs="Arial"/>
          <w:sz w:val="24"/>
          <w:szCs w:val="24"/>
        </w:rPr>
        <w:t>Goal 2: Promote a culture of evidence-based decision making</w:t>
      </w:r>
    </w:p>
    <w:p w:rsidR="004D3301" w:rsidRPr="002C3D2B" w:rsidRDefault="00F124CF" w:rsidP="00A816B4">
      <w:pPr>
        <w:keepNext/>
        <w:keepLines/>
        <w:spacing w:after="0" w:line="276" w:lineRule="auto"/>
        <w:rPr>
          <w:rFonts w:asciiTheme="minorHAnsi" w:eastAsia="Arial" w:hAnsiTheme="minorHAnsi" w:cs="Arial"/>
          <w:sz w:val="24"/>
          <w:szCs w:val="24"/>
        </w:rPr>
      </w:pPr>
      <w:r>
        <w:rPr>
          <w:rFonts w:asciiTheme="minorHAnsi" w:eastAsia="Arial" w:hAnsiTheme="minorHAnsi" w:cs="Arial"/>
          <w:sz w:val="24"/>
          <w:szCs w:val="24"/>
        </w:rPr>
        <w:t>Supporting Actions</w:t>
      </w:r>
      <w:r w:rsidR="004D3301" w:rsidRPr="002C3D2B">
        <w:rPr>
          <w:rFonts w:asciiTheme="minorHAnsi" w:eastAsia="Arial" w:hAnsiTheme="minorHAnsi" w:cs="Arial"/>
          <w:sz w:val="24"/>
          <w:szCs w:val="24"/>
        </w:rPr>
        <w:t>:</w:t>
      </w:r>
    </w:p>
    <w:p w:rsidR="00AD1889" w:rsidRPr="00F124CF" w:rsidRDefault="004D3301" w:rsidP="00E30CA3">
      <w:pPr>
        <w:pStyle w:val="ListParagraph"/>
        <w:keepNext/>
        <w:keepLines/>
        <w:numPr>
          <w:ilvl w:val="0"/>
          <w:numId w:val="42"/>
        </w:numPr>
        <w:spacing w:before="120" w:after="0" w:line="276" w:lineRule="auto"/>
        <w:rPr>
          <w:rFonts w:asciiTheme="minorHAnsi" w:hAnsiTheme="minorHAnsi" w:cs="Arial"/>
          <w:sz w:val="24"/>
          <w:szCs w:val="24"/>
        </w:rPr>
      </w:pPr>
      <w:r w:rsidRPr="00F124CF">
        <w:rPr>
          <w:rFonts w:asciiTheme="minorHAnsi" w:hAnsiTheme="minorHAnsi" w:cs="Arial"/>
          <w:sz w:val="24"/>
          <w:szCs w:val="24"/>
        </w:rPr>
        <w:t>Incorporate outcomes data throughout college decision-making processes</w:t>
      </w:r>
    </w:p>
    <w:p w:rsidR="004D3301" w:rsidRPr="00F124CF" w:rsidRDefault="004D3301" w:rsidP="00E30CA3">
      <w:pPr>
        <w:pStyle w:val="ListParagraph"/>
        <w:keepNext/>
        <w:keepLines/>
        <w:numPr>
          <w:ilvl w:val="0"/>
          <w:numId w:val="42"/>
        </w:numPr>
        <w:spacing w:before="120" w:after="0" w:line="276" w:lineRule="auto"/>
        <w:rPr>
          <w:rFonts w:asciiTheme="minorHAnsi" w:hAnsiTheme="minorHAnsi" w:cs="Arial"/>
          <w:sz w:val="24"/>
          <w:szCs w:val="24"/>
        </w:rPr>
      </w:pPr>
      <w:r w:rsidRPr="00F124CF">
        <w:rPr>
          <w:rFonts w:asciiTheme="minorHAnsi" w:hAnsiTheme="minorHAnsi" w:cs="Arial"/>
          <w:sz w:val="24"/>
          <w:szCs w:val="24"/>
        </w:rPr>
        <w:t xml:space="preserve">Develop additional dashboards to </w:t>
      </w:r>
      <w:r w:rsidR="008F515F" w:rsidRPr="00F124CF">
        <w:rPr>
          <w:rFonts w:asciiTheme="minorHAnsi" w:hAnsiTheme="minorHAnsi" w:cs="Arial"/>
          <w:sz w:val="24"/>
          <w:szCs w:val="24"/>
        </w:rPr>
        <w:t>support evidence-based decision making</w:t>
      </w:r>
    </w:p>
    <w:p w:rsidR="008F515F" w:rsidRPr="00F124CF" w:rsidRDefault="008F515F" w:rsidP="00E30CA3">
      <w:pPr>
        <w:pStyle w:val="ListParagraph"/>
        <w:keepNext/>
        <w:keepLines/>
        <w:numPr>
          <w:ilvl w:val="0"/>
          <w:numId w:val="42"/>
        </w:numPr>
        <w:spacing w:before="120" w:after="0" w:line="276" w:lineRule="auto"/>
        <w:rPr>
          <w:rFonts w:asciiTheme="minorHAnsi" w:hAnsiTheme="minorHAnsi" w:cs="Arial"/>
          <w:sz w:val="24"/>
          <w:szCs w:val="24"/>
        </w:rPr>
      </w:pPr>
      <w:r w:rsidRPr="00F124CF">
        <w:rPr>
          <w:rFonts w:asciiTheme="minorHAnsi" w:hAnsiTheme="minorHAnsi" w:cs="Arial"/>
          <w:sz w:val="24"/>
          <w:szCs w:val="24"/>
        </w:rPr>
        <w:t>Identify and implement procedures to gather data and evaluate SSSP processes and services on an annual basis</w:t>
      </w:r>
    </w:p>
    <w:p w:rsidR="008F515F" w:rsidRPr="002C3D2B" w:rsidRDefault="008F515F" w:rsidP="008F515F">
      <w:pPr>
        <w:keepNext/>
        <w:keepLines/>
        <w:spacing w:before="120" w:after="0" w:line="276" w:lineRule="auto"/>
        <w:rPr>
          <w:rFonts w:asciiTheme="minorHAnsi" w:hAnsiTheme="minorHAnsi" w:cs="Arial"/>
          <w:sz w:val="24"/>
          <w:szCs w:val="24"/>
        </w:rPr>
      </w:pPr>
      <w:r w:rsidRPr="002C3D2B">
        <w:rPr>
          <w:rFonts w:asciiTheme="minorHAnsi" w:hAnsiTheme="minorHAnsi" w:cs="Arial"/>
          <w:sz w:val="24"/>
          <w:szCs w:val="24"/>
        </w:rPr>
        <w:t>Goal 3: Implement college-wide integrated planning</w:t>
      </w:r>
    </w:p>
    <w:p w:rsidR="008F515F" w:rsidRPr="002C3D2B" w:rsidRDefault="008F515F" w:rsidP="00A816B4">
      <w:pPr>
        <w:keepNext/>
        <w:keepLines/>
        <w:spacing w:after="0" w:line="276" w:lineRule="auto"/>
        <w:rPr>
          <w:rFonts w:asciiTheme="minorHAnsi" w:hAnsiTheme="minorHAnsi" w:cs="Arial"/>
          <w:sz w:val="24"/>
          <w:szCs w:val="24"/>
        </w:rPr>
      </w:pPr>
      <w:r w:rsidRPr="002C3D2B">
        <w:rPr>
          <w:rFonts w:asciiTheme="minorHAnsi" w:hAnsiTheme="minorHAnsi" w:cs="Arial"/>
          <w:sz w:val="24"/>
          <w:szCs w:val="24"/>
        </w:rPr>
        <w:t>Objectives:</w:t>
      </w:r>
    </w:p>
    <w:p w:rsidR="008F515F" w:rsidRPr="00F124CF" w:rsidRDefault="008F515F" w:rsidP="00E30CA3">
      <w:pPr>
        <w:pStyle w:val="ListParagraph"/>
        <w:keepNext/>
        <w:keepLines/>
        <w:numPr>
          <w:ilvl w:val="0"/>
          <w:numId w:val="43"/>
        </w:numPr>
        <w:spacing w:before="120" w:after="0" w:line="276" w:lineRule="auto"/>
        <w:rPr>
          <w:rFonts w:asciiTheme="minorHAnsi" w:hAnsiTheme="minorHAnsi" w:cs="Arial"/>
          <w:sz w:val="24"/>
          <w:szCs w:val="24"/>
        </w:rPr>
      </w:pPr>
      <w:r w:rsidRPr="00F124CF">
        <w:rPr>
          <w:rFonts w:asciiTheme="minorHAnsi" w:hAnsiTheme="minorHAnsi" w:cs="Arial"/>
          <w:sz w:val="24"/>
          <w:szCs w:val="24"/>
        </w:rPr>
        <w:t>Continue to align all college plans with EMP</w:t>
      </w:r>
    </w:p>
    <w:p w:rsidR="008F515F" w:rsidRPr="00F124CF" w:rsidRDefault="008F515F" w:rsidP="00E30CA3">
      <w:pPr>
        <w:pStyle w:val="ListParagraph"/>
        <w:keepNext/>
        <w:keepLines/>
        <w:numPr>
          <w:ilvl w:val="0"/>
          <w:numId w:val="43"/>
        </w:numPr>
        <w:spacing w:before="120" w:after="0" w:line="276" w:lineRule="auto"/>
        <w:rPr>
          <w:rFonts w:asciiTheme="minorHAnsi" w:hAnsiTheme="minorHAnsi" w:cs="Arial"/>
          <w:sz w:val="24"/>
          <w:szCs w:val="24"/>
        </w:rPr>
      </w:pPr>
      <w:r w:rsidRPr="00F124CF">
        <w:rPr>
          <w:rFonts w:asciiTheme="minorHAnsi" w:hAnsiTheme="minorHAnsi" w:cs="Arial"/>
          <w:sz w:val="24"/>
          <w:szCs w:val="24"/>
        </w:rPr>
        <w:t>Strengthen connections between annual plan/program review and EMP</w:t>
      </w:r>
    </w:p>
    <w:p w:rsidR="004D3301" w:rsidRPr="002C3D2B" w:rsidRDefault="004D3301" w:rsidP="004D3301">
      <w:pPr>
        <w:keepNext/>
        <w:keepLines/>
        <w:spacing w:before="120" w:after="0" w:line="276" w:lineRule="auto"/>
        <w:rPr>
          <w:rFonts w:asciiTheme="minorHAnsi" w:hAnsiTheme="minorHAnsi"/>
          <w:sz w:val="24"/>
          <w:szCs w:val="24"/>
        </w:rPr>
      </w:pPr>
    </w:p>
    <w:p w:rsidR="00D130BC" w:rsidRDefault="00D130BC">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8D6ACD" w:rsidRDefault="008D6ACD">
      <w:pPr>
        <w:keepNext/>
        <w:keepLines/>
        <w:spacing w:before="360" w:after="0" w:line="276" w:lineRule="auto"/>
        <w:rPr>
          <w:rFonts w:asciiTheme="minorHAnsi" w:eastAsia="Arial" w:hAnsiTheme="minorHAnsi" w:cs="Arial"/>
          <w:b/>
          <w:sz w:val="24"/>
          <w:szCs w:val="24"/>
        </w:rPr>
      </w:pPr>
    </w:p>
    <w:p w:rsidR="00AD1889" w:rsidRPr="002C3D2B" w:rsidRDefault="00136838">
      <w:pPr>
        <w:keepNext/>
        <w:keepLines/>
        <w:spacing w:before="360" w:after="0" w:line="276" w:lineRule="auto"/>
        <w:rPr>
          <w:rFonts w:asciiTheme="minorHAnsi" w:hAnsiTheme="minorHAnsi"/>
          <w:sz w:val="24"/>
          <w:szCs w:val="24"/>
        </w:rPr>
      </w:pPr>
      <w:r w:rsidRPr="002C3D2B">
        <w:rPr>
          <w:rFonts w:asciiTheme="minorHAnsi" w:eastAsia="Arial" w:hAnsiTheme="minorHAnsi" w:cs="Arial"/>
          <w:b/>
          <w:sz w:val="24"/>
          <w:szCs w:val="24"/>
        </w:rPr>
        <w:lastRenderedPageBreak/>
        <w:t>SD 7: Develop Programs and Services</w:t>
      </w:r>
    </w:p>
    <w:p w:rsidR="00AD1889" w:rsidRPr="002C3D2B" w:rsidRDefault="00136838">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CHC is committed to providing excellent and responsive programs and services.</w:t>
      </w:r>
    </w:p>
    <w:p w:rsidR="008F515F" w:rsidRPr="002C3D2B" w:rsidRDefault="008F515F" w:rsidP="008F515F">
      <w:pPr>
        <w:keepNext/>
        <w:keepLines/>
        <w:spacing w:after="0" w:line="276" w:lineRule="auto"/>
        <w:contextualSpacing/>
        <w:rPr>
          <w:rFonts w:asciiTheme="minorHAnsi" w:eastAsia="Arial" w:hAnsiTheme="minorHAnsi" w:cs="Arial"/>
          <w:sz w:val="24"/>
          <w:szCs w:val="24"/>
        </w:rPr>
      </w:pPr>
    </w:p>
    <w:p w:rsidR="008F515F" w:rsidRPr="002C3D2B" w:rsidRDefault="008F515F" w:rsidP="008F515F">
      <w:pPr>
        <w:keepNext/>
        <w:keepLines/>
        <w:spacing w:after="0" w:line="276" w:lineRule="auto"/>
        <w:contextualSpacing/>
        <w:rPr>
          <w:rFonts w:asciiTheme="minorHAnsi" w:eastAsia="Arial" w:hAnsiTheme="minorHAnsi" w:cs="Arial"/>
          <w:sz w:val="24"/>
          <w:szCs w:val="24"/>
        </w:rPr>
      </w:pPr>
      <w:r w:rsidRPr="002C3D2B">
        <w:rPr>
          <w:rFonts w:asciiTheme="minorHAnsi" w:eastAsia="Arial" w:hAnsiTheme="minorHAnsi" w:cs="Arial"/>
          <w:sz w:val="24"/>
          <w:szCs w:val="24"/>
        </w:rPr>
        <w:t>Goal 1: Improve and expand services</w:t>
      </w:r>
    </w:p>
    <w:p w:rsidR="008F515F" w:rsidRPr="002C3D2B" w:rsidRDefault="00D130BC" w:rsidP="008F515F">
      <w:pPr>
        <w:keepNext/>
        <w:keepLines/>
        <w:spacing w:after="0" w:line="276" w:lineRule="auto"/>
        <w:contextualSpacing/>
        <w:rPr>
          <w:rFonts w:asciiTheme="minorHAnsi" w:eastAsia="Arial" w:hAnsiTheme="minorHAnsi" w:cs="Arial"/>
          <w:sz w:val="24"/>
          <w:szCs w:val="24"/>
        </w:rPr>
      </w:pPr>
      <w:r>
        <w:rPr>
          <w:rFonts w:asciiTheme="minorHAnsi" w:eastAsia="Arial" w:hAnsiTheme="minorHAnsi" w:cs="Arial"/>
          <w:sz w:val="24"/>
          <w:szCs w:val="24"/>
        </w:rPr>
        <w:t>Supporting Actions</w:t>
      </w:r>
      <w:r w:rsidR="008F515F" w:rsidRPr="002C3D2B">
        <w:rPr>
          <w:rFonts w:asciiTheme="minorHAnsi" w:eastAsia="Arial" w:hAnsiTheme="minorHAnsi" w:cs="Arial"/>
          <w:sz w:val="24"/>
          <w:szCs w:val="24"/>
        </w:rPr>
        <w:t>:</w:t>
      </w:r>
    </w:p>
    <w:p w:rsidR="008F515F" w:rsidRPr="002C3D2B" w:rsidRDefault="008F515F" w:rsidP="00E30CA3">
      <w:pPr>
        <w:pStyle w:val="ListParagraph"/>
        <w:keepNext/>
        <w:keepLines/>
        <w:numPr>
          <w:ilvl w:val="0"/>
          <w:numId w:val="34"/>
        </w:numPr>
        <w:spacing w:after="0" w:line="276" w:lineRule="auto"/>
        <w:rPr>
          <w:rFonts w:asciiTheme="minorHAnsi" w:hAnsiTheme="minorHAnsi"/>
          <w:sz w:val="24"/>
          <w:szCs w:val="24"/>
        </w:rPr>
      </w:pPr>
      <w:r w:rsidRPr="002C3D2B">
        <w:rPr>
          <w:rFonts w:asciiTheme="minorHAnsi" w:hAnsiTheme="minorHAnsi" w:cs="Arial"/>
          <w:sz w:val="24"/>
          <w:szCs w:val="24"/>
        </w:rPr>
        <w:t>Maintain a high level of satisfaction with CHC services</w:t>
      </w:r>
    </w:p>
    <w:p w:rsidR="008F515F" w:rsidRPr="002C3D2B" w:rsidRDefault="008F515F" w:rsidP="00E30CA3">
      <w:pPr>
        <w:pStyle w:val="ListParagraph"/>
        <w:keepNext/>
        <w:keepLines/>
        <w:numPr>
          <w:ilvl w:val="0"/>
          <w:numId w:val="34"/>
        </w:numPr>
        <w:spacing w:after="0" w:line="276" w:lineRule="auto"/>
        <w:rPr>
          <w:rFonts w:asciiTheme="minorHAnsi" w:hAnsiTheme="minorHAnsi"/>
          <w:sz w:val="24"/>
          <w:szCs w:val="24"/>
        </w:rPr>
      </w:pPr>
      <w:r w:rsidRPr="002C3D2B">
        <w:rPr>
          <w:rFonts w:asciiTheme="minorHAnsi" w:hAnsiTheme="minorHAnsi" w:cs="Arial"/>
          <w:sz w:val="24"/>
          <w:szCs w:val="24"/>
        </w:rPr>
        <w:t>Expand and maintain the variety and quality of online and automated student services</w:t>
      </w:r>
    </w:p>
    <w:p w:rsidR="008F515F" w:rsidRPr="002C3D2B" w:rsidRDefault="008F515F" w:rsidP="00E30CA3">
      <w:pPr>
        <w:pStyle w:val="ListParagraph"/>
        <w:keepNext/>
        <w:keepLines/>
        <w:numPr>
          <w:ilvl w:val="0"/>
          <w:numId w:val="34"/>
        </w:numPr>
        <w:spacing w:after="0" w:line="276" w:lineRule="auto"/>
        <w:rPr>
          <w:rFonts w:asciiTheme="minorHAnsi" w:hAnsiTheme="minorHAnsi"/>
          <w:sz w:val="24"/>
          <w:szCs w:val="24"/>
        </w:rPr>
      </w:pPr>
      <w:r w:rsidRPr="002C3D2B">
        <w:rPr>
          <w:rFonts w:asciiTheme="minorHAnsi" w:hAnsiTheme="minorHAnsi" w:cs="Arial"/>
          <w:sz w:val="24"/>
          <w:szCs w:val="24"/>
        </w:rPr>
        <w:t>Streamline enrollment verification process</w:t>
      </w:r>
    </w:p>
    <w:p w:rsidR="008F515F" w:rsidRPr="002C3D2B" w:rsidRDefault="008F515F" w:rsidP="008F515F">
      <w:pPr>
        <w:keepNext/>
        <w:keepLines/>
        <w:spacing w:after="0" w:line="276" w:lineRule="auto"/>
        <w:rPr>
          <w:rFonts w:asciiTheme="minorHAnsi" w:hAnsiTheme="minorHAnsi"/>
          <w:sz w:val="24"/>
          <w:szCs w:val="24"/>
        </w:rPr>
      </w:pPr>
    </w:p>
    <w:p w:rsidR="008F515F" w:rsidRPr="002C3D2B" w:rsidRDefault="008F515F" w:rsidP="008F515F">
      <w:pPr>
        <w:keepNext/>
        <w:keepLines/>
        <w:spacing w:after="0" w:line="276" w:lineRule="auto"/>
        <w:rPr>
          <w:rFonts w:asciiTheme="minorHAnsi" w:hAnsiTheme="minorHAnsi" w:cs="Arial"/>
          <w:sz w:val="24"/>
          <w:szCs w:val="24"/>
        </w:rPr>
      </w:pPr>
      <w:r w:rsidRPr="002C3D2B">
        <w:rPr>
          <w:rFonts w:asciiTheme="minorHAnsi" w:hAnsiTheme="minorHAnsi" w:cs="Arial"/>
          <w:sz w:val="24"/>
          <w:szCs w:val="24"/>
        </w:rPr>
        <w:t>Goal 2: Improve and expand programs</w:t>
      </w:r>
    </w:p>
    <w:p w:rsidR="008F515F" w:rsidRPr="002C3D2B" w:rsidRDefault="00D130BC" w:rsidP="008F515F">
      <w:pPr>
        <w:keepNext/>
        <w:keepLines/>
        <w:spacing w:after="0" w:line="276" w:lineRule="auto"/>
        <w:rPr>
          <w:rFonts w:asciiTheme="minorHAnsi" w:hAnsiTheme="minorHAnsi" w:cs="Arial"/>
          <w:sz w:val="24"/>
          <w:szCs w:val="24"/>
        </w:rPr>
      </w:pPr>
      <w:r>
        <w:rPr>
          <w:rFonts w:asciiTheme="minorHAnsi" w:hAnsiTheme="minorHAnsi" w:cs="Arial"/>
          <w:sz w:val="24"/>
          <w:szCs w:val="24"/>
        </w:rPr>
        <w:t>Supporting Actions</w:t>
      </w:r>
      <w:r w:rsidR="008F515F" w:rsidRPr="002C3D2B">
        <w:rPr>
          <w:rFonts w:asciiTheme="minorHAnsi" w:hAnsiTheme="minorHAnsi" w:cs="Arial"/>
          <w:sz w:val="24"/>
          <w:szCs w:val="24"/>
        </w:rPr>
        <w:t>:</w:t>
      </w:r>
    </w:p>
    <w:p w:rsidR="008F515F" w:rsidRPr="002C3D2B" w:rsidRDefault="008F515F" w:rsidP="00E30CA3">
      <w:pPr>
        <w:pStyle w:val="ListParagraph"/>
        <w:keepNext/>
        <w:keepLines/>
        <w:numPr>
          <w:ilvl w:val="0"/>
          <w:numId w:val="35"/>
        </w:numPr>
        <w:spacing w:after="0" w:line="276" w:lineRule="auto"/>
        <w:rPr>
          <w:rFonts w:asciiTheme="minorHAnsi" w:hAnsiTheme="minorHAnsi" w:cs="Arial"/>
          <w:sz w:val="24"/>
          <w:szCs w:val="24"/>
        </w:rPr>
      </w:pPr>
      <w:r w:rsidRPr="002C3D2B">
        <w:rPr>
          <w:rFonts w:asciiTheme="minorHAnsi" w:hAnsiTheme="minorHAnsi" w:cs="Arial"/>
          <w:sz w:val="24"/>
          <w:szCs w:val="24"/>
        </w:rPr>
        <w:t>Align course offerings with student need/demand</w:t>
      </w:r>
    </w:p>
    <w:p w:rsidR="008F515F" w:rsidRPr="002C3D2B" w:rsidRDefault="008F515F" w:rsidP="00E30CA3">
      <w:pPr>
        <w:pStyle w:val="ListParagraph"/>
        <w:keepNext/>
        <w:keepLines/>
        <w:numPr>
          <w:ilvl w:val="0"/>
          <w:numId w:val="35"/>
        </w:numPr>
        <w:spacing w:after="0" w:line="276" w:lineRule="auto"/>
        <w:rPr>
          <w:rFonts w:asciiTheme="minorHAnsi" w:hAnsiTheme="minorHAnsi" w:cs="Arial"/>
          <w:sz w:val="24"/>
          <w:szCs w:val="24"/>
        </w:rPr>
      </w:pPr>
      <w:r w:rsidRPr="002C3D2B">
        <w:rPr>
          <w:rFonts w:asciiTheme="minorHAnsi" w:hAnsiTheme="minorHAnsi" w:cs="Arial"/>
          <w:sz w:val="24"/>
          <w:szCs w:val="24"/>
        </w:rPr>
        <w:t>Maintain a high level of satisfaction with CHC programs</w:t>
      </w:r>
    </w:p>
    <w:p w:rsidR="00F124CF" w:rsidRPr="002C3D2B" w:rsidRDefault="00F124CF" w:rsidP="00E30CA3">
      <w:pPr>
        <w:keepNext/>
        <w:keepLines/>
        <w:numPr>
          <w:ilvl w:val="0"/>
          <w:numId w:val="35"/>
        </w:numPr>
        <w:spacing w:after="0" w:line="276" w:lineRule="auto"/>
        <w:contextualSpacing/>
        <w:rPr>
          <w:rFonts w:asciiTheme="minorHAnsi" w:hAnsiTheme="minorHAnsi"/>
          <w:sz w:val="24"/>
          <w:szCs w:val="24"/>
        </w:rPr>
      </w:pPr>
      <w:r w:rsidRPr="002C3D2B">
        <w:rPr>
          <w:rFonts w:asciiTheme="minorHAnsi" w:eastAsia="Arial" w:hAnsiTheme="minorHAnsi" w:cs="Arial"/>
          <w:sz w:val="24"/>
          <w:szCs w:val="24"/>
        </w:rPr>
        <w:t>Explore offering, or affiliating with, adult education to address basic skills and ESL needs of the region</w:t>
      </w:r>
    </w:p>
    <w:p w:rsidR="00F124CF" w:rsidRPr="002C3D2B" w:rsidRDefault="00F124CF" w:rsidP="00E30CA3">
      <w:pPr>
        <w:keepNext/>
        <w:keepLines/>
        <w:numPr>
          <w:ilvl w:val="0"/>
          <w:numId w:val="35"/>
        </w:numPr>
        <w:spacing w:after="0" w:line="276" w:lineRule="auto"/>
        <w:contextualSpacing/>
        <w:rPr>
          <w:rFonts w:asciiTheme="minorHAnsi" w:hAnsiTheme="minorHAnsi"/>
          <w:sz w:val="24"/>
          <w:szCs w:val="24"/>
        </w:rPr>
      </w:pPr>
      <w:r w:rsidRPr="002C3D2B">
        <w:rPr>
          <w:rFonts w:asciiTheme="minorHAnsi" w:eastAsia="Arial" w:hAnsiTheme="minorHAnsi" w:cs="Arial"/>
          <w:sz w:val="24"/>
          <w:szCs w:val="24"/>
        </w:rPr>
        <w:t>Develop and implement the athletics program</w:t>
      </w:r>
    </w:p>
    <w:p w:rsidR="00F124CF" w:rsidRPr="002C3D2B" w:rsidRDefault="00F124CF" w:rsidP="00E30CA3">
      <w:pPr>
        <w:keepNext/>
        <w:keepLines/>
        <w:numPr>
          <w:ilvl w:val="1"/>
          <w:numId w:val="35"/>
        </w:numPr>
        <w:spacing w:after="0" w:line="276" w:lineRule="auto"/>
        <w:contextualSpacing/>
        <w:rPr>
          <w:rFonts w:asciiTheme="minorHAnsi" w:hAnsiTheme="minorHAnsi"/>
          <w:sz w:val="24"/>
          <w:szCs w:val="24"/>
        </w:rPr>
      </w:pPr>
      <w:r w:rsidRPr="002C3D2B">
        <w:rPr>
          <w:rFonts w:asciiTheme="minorHAnsi" w:eastAsia="Arial" w:hAnsiTheme="minorHAnsi" w:cs="Arial"/>
          <w:sz w:val="24"/>
          <w:szCs w:val="24"/>
        </w:rPr>
        <w:t>Engage the community as participants and boosters</w:t>
      </w:r>
    </w:p>
    <w:p w:rsidR="00D130BC" w:rsidRPr="002C3D2B" w:rsidRDefault="00D130BC" w:rsidP="00E30CA3">
      <w:pPr>
        <w:numPr>
          <w:ilvl w:val="0"/>
          <w:numId w:val="35"/>
        </w:numPr>
        <w:spacing w:after="0"/>
        <w:contextualSpacing/>
        <w:rPr>
          <w:rFonts w:asciiTheme="minorHAnsi" w:hAnsiTheme="minorHAnsi"/>
          <w:sz w:val="24"/>
          <w:szCs w:val="24"/>
        </w:rPr>
      </w:pPr>
      <w:r w:rsidRPr="002C3D2B">
        <w:rPr>
          <w:rFonts w:asciiTheme="minorHAnsi" w:eastAsia="Arial" w:hAnsiTheme="minorHAnsi" w:cs="Arial"/>
          <w:sz w:val="24"/>
          <w:szCs w:val="24"/>
        </w:rPr>
        <w:t>Expand and strengthen the College’s online program</w:t>
      </w:r>
    </w:p>
    <w:p w:rsidR="00D130BC" w:rsidRPr="002C3D2B" w:rsidRDefault="00D130BC" w:rsidP="00E30CA3">
      <w:pPr>
        <w:numPr>
          <w:ilvl w:val="1"/>
          <w:numId w:val="35"/>
        </w:numPr>
        <w:spacing w:after="0"/>
        <w:contextualSpacing/>
        <w:rPr>
          <w:rFonts w:asciiTheme="minorHAnsi" w:hAnsiTheme="minorHAnsi"/>
          <w:sz w:val="24"/>
          <w:szCs w:val="24"/>
        </w:rPr>
      </w:pPr>
      <w:r w:rsidRPr="002C3D2B">
        <w:rPr>
          <w:rFonts w:asciiTheme="minorHAnsi" w:eastAsia="Arial" w:hAnsiTheme="minorHAnsi" w:cs="Arial"/>
          <w:sz w:val="24"/>
          <w:szCs w:val="24"/>
        </w:rPr>
        <w:t>Increase online course offerings to serve more students in remote areas and those with scheduling limitations</w:t>
      </w:r>
    </w:p>
    <w:p w:rsidR="00D130BC" w:rsidRPr="002C3D2B" w:rsidRDefault="00D130BC" w:rsidP="00E30CA3">
      <w:pPr>
        <w:keepNext/>
        <w:keepLines/>
        <w:numPr>
          <w:ilvl w:val="1"/>
          <w:numId w:val="35"/>
        </w:numPr>
        <w:spacing w:after="0" w:line="276" w:lineRule="auto"/>
        <w:contextualSpacing/>
        <w:rPr>
          <w:rFonts w:asciiTheme="minorHAnsi" w:hAnsiTheme="minorHAnsi"/>
          <w:sz w:val="24"/>
          <w:szCs w:val="24"/>
        </w:rPr>
      </w:pPr>
      <w:r w:rsidRPr="002C3D2B">
        <w:rPr>
          <w:rFonts w:asciiTheme="minorHAnsi" w:eastAsia="Arial" w:hAnsiTheme="minorHAnsi" w:cs="Arial"/>
          <w:sz w:val="24"/>
          <w:szCs w:val="24"/>
        </w:rPr>
        <w:t>Implement the DE Plan and continue the DE Coordinator role</w:t>
      </w:r>
    </w:p>
    <w:p w:rsidR="008F515F" w:rsidRPr="002C3D2B" w:rsidRDefault="008F515F" w:rsidP="00E30CA3">
      <w:pPr>
        <w:pStyle w:val="ListParagraph"/>
        <w:keepNext/>
        <w:keepLines/>
        <w:numPr>
          <w:ilvl w:val="0"/>
          <w:numId w:val="35"/>
        </w:numPr>
        <w:spacing w:after="0" w:line="276" w:lineRule="auto"/>
        <w:rPr>
          <w:rFonts w:asciiTheme="minorHAnsi" w:hAnsiTheme="minorHAnsi" w:cs="Arial"/>
          <w:sz w:val="24"/>
          <w:szCs w:val="24"/>
        </w:rPr>
      </w:pPr>
      <w:r w:rsidRPr="002C3D2B">
        <w:rPr>
          <w:rFonts w:asciiTheme="minorHAnsi" w:hAnsiTheme="minorHAnsi" w:cs="Arial"/>
          <w:sz w:val="24"/>
          <w:szCs w:val="24"/>
        </w:rPr>
        <w:t>Expand access to programs</w:t>
      </w:r>
    </w:p>
    <w:p w:rsidR="008F515F" w:rsidRPr="002C3D2B" w:rsidRDefault="008F515F" w:rsidP="00E30CA3">
      <w:pPr>
        <w:pStyle w:val="ListParagraph"/>
        <w:keepNext/>
        <w:keepLines/>
        <w:numPr>
          <w:ilvl w:val="0"/>
          <w:numId w:val="30"/>
        </w:numPr>
        <w:spacing w:after="0" w:line="276" w:lineRule="auto"/>
        <w:rPr>
          <w:rFonts w:asciiTheme="minorHAnsi" w:hAnsiTheme="minorHAnsi" w:cs="Arial"/>
          <w:sz w:val="24"/>
          <w:szCs w:val="24"/>
        </w:rPr>
      </w:pPr>
      <w:r w:rsidRPr="002C3D2B">
        <w:rPr>
          <w:rFonts w:asciiTheme="minorHAnsi" w:hAnsiTheme="minorHAnsi" w:cs="Arial"/>
          <w:sz w:val="24"/>
          <w:szCs w:val="24"/>
        </w:rPr>
        <w:t>Develop a comprehensive international student program</w:t>
      </w:r>
    </w:p>
    <w:p w:rsidR="008F515F" w:rsidRPr="002C3D2B" w:rsidRDefault="008F515F" w:rsidP="00E30CA3">
      <w:pPr>
        <w:pStyle w:val="ListParagraph"/>
        <w:keepNext/>
        <w:keepLines/>
        <w:numPr>
          <w:ilvl w:val="0"/>
          <w:numId w:val="30"/>
        </w:numPr>
        <w:spacing w:after="0" w:line="276" w:lineRule="auto"/>
        <w:rPr>
          <w:rFonts w:asciiTheme="minorHAnsi" w:hAnsiTheme="minorHAnsi" w:cs="Arial"/>
          <w:sz w:val="24"/>
          <w:szCs w:val="24"/>
        </w:rPr>
      </w:pPr>
      <w:r w:rsidRPr="002C3D2B">
        <w:rPr>
          <w:rFonts w:asciiTheme="minorHAnsi" w:hAnsiTheme="minorHAnsi" w:cs="Arial"/>
          <w:sz w:val="24"/>
          <w:szCs w:val="24"/>
        </w:rPr>
        <w:t>Expand transfer model curriculum</w:t>
      </w:r>
    </w:p>
    <w:p w:rsidR="008F515F" w:rsidRPr="002C3D2B" w:rsidRDefault="008F515F" w:rsidP="00E30CA3">
      <w:pPr>
        <w:pStyle w:val="ListParagraph"/>
        <w:keepNext/>
        <w:keepLines/>
        <w:numPr>
          <w:ilvl w:val="0"/>
          <w:numId w:val="30"/>
        </w:numPr>
        <w:spacing w:after="0" w:line="276" w:lineRule="auto"/>
        <w:rPr>
          <w:rFonts w:asciiTheme="minorHAnsi" w:hAnsiTheme="minorHAnsi" w:cs="Arial"/>
          <w:sz w:val="24"/>
          <w:szCs w:val="24"/>
        </w:rPr>
      </w:pPr>
      <w:r w:rsidRPr="002C3D2B">
        <w:rPr>
          <w:rFonts w:asciiTheme="minorHAnsi" w:hAnsiTheme="minorHAnsi" w:cs="Arial"/>
          <w:sz w:val="24"/>
          <w:szCs w:val="24"/>
        </w:rPr>
        <w:t>Expand dual enrollment with K-12 partners</w:t>
      </w:r>
    </w:p>
    <w:p w:rsidR="00AD1889" w:rsidRPr="002C3D2B" w:rsidRDefault="00136838" w:rsidP="008D6ACD">
      <w:pPr>
        <w:keepNext/>
        <w:keepLines/>
        <w:spacing w:after="0" w:line="240" w:lineRule="auto"/>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rsidP="008D6ACD">
      <w:pPr>
        <w:keepNext/>
        <w:keepLines/>
        <w:spacing w:after="0" w:line="240" w:lineRule="auto"/>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rsidP="008D6ACD">
      <w:pPr>
        <w:keepNext/>
        <w:keepLines/>
        <w:spacing w:after="0" w:line="240" w:lineRule="auto"/>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keepNext/>
        <w:keepLines/>
        <w:spacing w:after="0" w:line="276" w:lineRule="auto"/>
        <w:rPr>
          <w:rFonts w:asciiTheme="minorHAnsi" w:hAnsiTheme="minorHAnsi"/>
          <w:sz w:val="24"/>
          <w:szCs w:val="24"/>
        </w:rPr>
      </w:pPr>
      <w:r w:rsidRPr="002C3D2B">
        <w:rPr>
          <w:rFonts w:asciiTheme="minorHAnsi" w:eastAsia="Arial" w:hAnsiTheme="minorHAnsi" w:cs="Arial"/>
          <w:b/>
          <w:sz w:val="24"/>
          <w:szCs w:val="24"/>
        </w:rPr>
        <w:t>SD 8: Support Employee Growth</w:t>
      </w:r>
    </w:p>
    <w:p w:rsidR="00AD1889" w:rsidRPr="002C3D2B" w:rsidRDefault="00136838">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CHC is committed to developing the full potential of every employee.</w:t>
      </w:r>
    </w:p>
    <w:p w:rsidR="008F515F" w:rsidRPr="002C3D2B" w:rsidRDefault="008F515F" w:rsidP="008F515F">
      <w:pPr>
        <w:contextualSpacing/>
        <w:rPr>
          <w:rFonts w:asciiTheme="minorHAnsi" w:eastAsia="Arial" w:hAnsiTheme="minorHAnsi" w:cs="Arial"/>
          <w:sz w:val="24"/>
          <w:szCs w:val="24"/>
        </w:rPr>
      </w:pPr>
    </w:p>
    <w:p w:rsidR="008F515F" w:rsidRPr="002C3D2B" w:rsidRDefault="008F515F" w:rsidP="008F515F">
      <w:pPr>
        <w:contextualSpacing/>
        <w:rPr>
          <w:rFonts w:asciiTheme="minorHAnsi" w:eastAsia="Arial" w:hAnsiTheme="minorHAnsi" w:cs="Arial"/>
          <w:sz w:val="24"/>
          <w:szCs w:val="24"/>
        </w:rPr>
      </w:pPr>
      <w:r w:rsidRPr="002C3D2B">
        <w:rPr>
          <w:rFonts w:asciiTheme="minorHAnsi" w:eastAsia="Arial" w:hAnsiTheme="minorHAnsi" w:cs="Arial"/>
          <w:sz w:val="24"/>
          <w:szCs w:val="24"/>
        </w:rPr>
        <w:t>Goal 1: Become an organization that embraces a culture of continuous learning</w:t>
      </w:r>
    </w:p>
    <w:p w:rsidR="008F515F" w:rsidRPr="002C3D2B" w:rsidRDefault="00D130BC" w:rsidP="008F515F">
      <w:pPr>
        <w:contextualSpacing/>
        <w:rPr>
          <w:rFonts w:asciiTheme="minorHAnsi" w:eastAsia="Arial" w:hAnsiTheme="minorHAnsi" w:cs="Arial"/>
          <w:sz w:val="24"/>
          <w:szCs w:val="24"/>
        </w:rPr>
      </w:pPr>
      <w:r>
        <w:rPr>
          <w:rFonts w:asciiTheme="minorHAnsi" w:eastAsia="Arial" w:hAnsiTheme="minorHAnsi" w:cs="Arial"/>
          <w:sz w:val="24"/>
          <w:szCs w:val="24"/>
        </w:rPr>
        <w:t>Supporting Actions</w:t>
      </w:r>
      <w:r w:rsidR="008F515F" w:rsidRPr="002C3D2B">
        <w:rPr>
          <w:rFonts w:asciiTheme="minorHAnsi" w:eastAsia="Arial" w:hAnsiTheme="minorHAnsi" w:cs="Arial"/>
          <w:sz w:val="24"/>
          <w:szCs w:val="24"/>
        </w:rPr>
        <w:t>:</w:t>
      </w:r>
    </w:p>
    <w:p w:rsidR="008F515F" w:rsidRPr="002C3D2B" w:rsidRDefault="00A816B4" w:rsidP="00E30CA3">
      <w:pPr>
        <w:pStyle w:val="ListParagraph"/>
        <w:numPr>
          <w:ilvl w:val="0"/>
          <w:numId w:val="36"/>
        </w:numPr>
        <w:spacing w:after="0"/>
        <w:rPr>
          <w:rFonts w:asciiTheme="minorHAnsi" w:hAnsiTheme="minorHAnsi"/>
          <w:sz w:val="24"/>
          <w:szCs w:val="24"/>
        </w:rPr>
      </w:pPr>
      <w:r w:rsidRPr="002C3D2B">
        <w:rPr>
          <w:rFonts w:asciiTheme="minorHAnsi" w:hAnsiTheme="minorHAnsi" w:cs="Arial"/>
          <w:sz w:val="24"/>
          <w:szCs w:val="24"/>
        </w:rPr>
        <w:t>Increase knowledge, skills and expertise among CHC employees</w:t>
      </w:r>
    </w:p>
    <w:p w:rsidR="00D130BC" w:rsidRPr="002C3D2B" w:rsidRDefault="00D130BC" w:rsidP="00E30CA3">
      <w:pPr>
        <w:numPr>
          <w:ilvl w:val="0"/>
          <w:numId w:val="36"/>
        </w:numPr>
        <w:spacing w:after="0"/>
        <w:contextualSpacing/>
        <w:rPr>
          <w:rFonts w:asciiTheme="minorHAnsi" w:hAnsiTheme="minorHAnsi"/>
          <w:sz w:val="24"/>
          <w:szCs w:val="24"/>
        </w:rPr>
      </w:pPr>
      <w:r w:rsidRPr="002C3D2B">
        <w:rPr>
          <w:rFonts w:asciiTheme="minorHAnsi" w:eastAsia="Arial" w:hAnsiTheme="minorHAnsi" w:cs="Arial"/>
          <w:sz w:val="24"/>
          <w:szCs w:val="24"/>
        </w:rPr>
        <w:t>Enlist employees in the selection of training of replacement and new staff</w:t>
      </w:r>
    </w:p>
    <w:p w:rsidR="00A816B4" w:rsidRPr="002C3D2B" w:rsidRDefault="00A816B4" w:rsidP="00E30CA3">
      <w:pPr>
        <w:pStyle w:val="ListParagraph"/>
        <w:numPr>
          <w:ilvl w:val="0"/>
          <w:numId w:val="36"/>
        </w:numPr>
        <w:spacing w:after="0"/>
        <w:rPr>
          <w:rFonts w:asciiTheme="minorHAnsi" w:hAnsiTheme="minorHAnsi"/>
          <w:sz w:val="24"/>
          <w:szCs w:val="24"/>
        </w:rPr>
      </w:pPr>
      <w:r w:rsidRPr="002C3D2B">
        <w:rPr>
          <w:rFonts w:asciiTheme="minorHAnsi" w:hAnsiTheme="minorHAnsi" w:cs="Arial"/>
          <w:sz w:val="24"/>
          <w:szCs w:val="24"/>
        </w:rPr>
        <w:t>Leverage the talents and strengths of all CHC employees</w:t>
      </w:r>
    </w:p>
    <w:p w:rsidR="00A816B4" w:rsidRPr="002C3D2B" w:rsidRDefault="00A816B4" w:rsidP="00E30CA3">
      <w:pPr>
        <w:pStyle w:val="ListParagraph"/>
        <w:numPr>
          <w:ilvl w:val="0"/>
          <w:numId w:val="36"/>
        </w:numPr>
        <w:spacing w:after="0"/>
        <w:rPr>
          <w:rFonts w:asciiTheme="minorHAnsi" w:hAnsiTheme="minorHAnsi"/>
          <w:sz w:val="24"/>
          <w:szCs w:val="24"/>
        </w:rPr>
      </w:pPr>
      <w:r w:rsidRPr="002C3D2B">
        <w:rPr>
          <w:rFonts w:asciiTheme="minorHAnsi" w:hAnsiTheme="minorHAnsi" w:cs="Arial"/>
          <w:sz w:val="24"/>
          <w:szCs w:val="24"/>
        </w:rPr>
        <w:t>Develop hiring and evaluation practices that support employee growth</w:t>
      </w:r>
    </w:p>
    <w:p w:rsidR="00AD1889" w:rsidRPr="002C3D2B" w:rsidRDefault="00136838" w:rsidP="008D6ACD">
      <w:pPr>
        <w:spacing w:after="0"/>
        <w:rPr>
          <w:rFonts w:asciiTheme="minorHAnsi" w:hAnsiTheme="minorHAnsi"/>
          <w:sz w:val="24"/>
          <w:szCs w:val="24"/>
        </w:rPr>
      </w:pPr>
      <w:r w:rsidRPr="002C3D2B">
        <w:rPr>
          <w:rFonts w:asciiTheme="minorHAnsi" w:eastAsia="Arial" w:hAnsiTheme="minorHAnsi" w:cs="Arial"/>
          <w:b/>
          <w:sz w:val="24"/>
          <w:szCs w:val="24"/>
        </w:rPr>
        <w:lastRenderedPageBreak/>
        <w:t>SD 9: Optimize Resources</w:t>
      </w:r>
    </w:p>
    <w:p w:rsidR="00AD1889" w:rsidRPr="002C3D2B" w:rsidRDefault="00136838">
      <w:pPr>
        <w:keepNext/>
        <w:keepLines/>
        <w:spacing w:before="120" w:after="0" w:line="276" w:lineRule="auto"/>
        <w:rPr>
          <w:rFonts w:asciiTheme="minorHAnsi" w:hAnsiTheme="minorHAnsi"/>
          <w:sz w:val="24"/>
          <w:szCs w:val="24"/>
        </w:rPr>
      </w:pPr>
      <w:r w:rsidRPr="002C3D2B">
        <w:rPr>
          <w:rFonts w:asciiTheme="minorHAnsi" w:eastAsia="Arial" w:hAnsiTheme="minorHAnsi" w:cs="Arial"/>
          <w:sz w:val="24"/>
          <w:szCs w:val="24"/>
        </w:rPr>
        <w:t>CHC develops, sustains, and strengthens its resources.</w:t>
      </w:r>
    </w:p>
    <w:p w:rsidR="00A816B4" w:rsidRPr="002C3D2B" w:rsidRDefault="00A816B4" w:rsidP="00A816B4">
      <w:pPr>
        <w:contextualSpacing/>
        <w:rPr>
          <w:rFonts w:asciiTheme="minorHAnsi" w:eastAsia="Arial" w:hAnsiTheme="minorHAnsi" w:cs="Arial"/>
          <w:sz w:val="24"/>
          <w:szCs w:val="24"/>
        </w:rPr>
      </w:pPr>
    </w:p>
    <w:p w:rsidR="00A816B4" w:rsidRPr="002C3D2B" w:rsidRDefault="00A816B4" w:rsidP="00A816B4">
      <w:pPr>
        <w:contextualSpacing/>
        <w:rPr>
          <w:rFonts w:asciiTheme="minorHAnsi" w:eastAsia="Arial" w:hAnsiTheme="minorHAnsi" w:cs="Arial"/>
          <w:sz w:val="24"/>
          <w:szCs w:val="24"/>
        </w:rPr>
      </w:pPr>
      <w:r w:rsidRPr="002C3D2B">
        <w:rPr>
          <w:rFonts w:asciiTheme="minorHAnsi" w:eastAsia="Arial" w:hAnsiTheme="minorHAnsi" w:cs="Arial"/>
          <w:sz w:val="24"/>
          <w:szCs w:val="24"/>
        </w:rPr>
        <w:t>Goal 1: Plan for growth and align resources</w:t>
      </w:r>
    </w:p>
    <w:p w:rsidR="00A816B4" w:rsidRPr="002C3D2B" w:rsidRDefault="00D130BC" w:rsidP="00A816B4">
      <w:pPr>
        <w:contextualSpacing/>
        <w:rPr>
          <w:rFonts w:asciiTheme="minorHAnsi" w:eastAsia="Arial" w:hAnsiTheme="minorHAnsi" w:cs="Arial"/>
          <w:sz w:val="24"/>
          <w:szCs w:val="24"/>
        </w:rPr>
      </w:pPr>
      <w:r>
        <w:rPr>
          <w:rFonts w:asciiTheme="minorHAnsi" w:eastAsia="Arial" w:hAnsiTheme="minorHAnsi" w:cs="Arial"/>
          <w:sz w:val="24"/>
          <w:szCs w:val="24"/>
        </w:rPr>
        <w:t>Supporting Actions</w:t>
      </w:r>
      <w:r w:rsidR="00A816B4" w:rsidRPr="002C3D2B">
        <w:rPr>
          <w:rFonts w:asciiTheme="minorHAnsi" w:eastAsia="Arial" w:hAnsiTheme="minorHAnsi" w:cs="Arial"/>
          <w:sz w:val="24"/>
          <w:szCs w:val="24"/>
        </w:rPr>
        <w:t>:</w:t>
      </w:r>
    </w:p>
    <w:p w:rsidR="00D130BC" w:rsidRPr="002C3D2B" w:rsidRDefault="00D130BC" w:rsidP="00E30CA3">
      <w:pPr>
        <w:numPr>
          <w:ilvl w:val="0"/>
          <w:numId w:val="37"/>
        </w:numPr>
        <w:contextualSpacing/>
        <w:rPr>
          <w:rFonts w:asciiTheme="minorHAnsi" w:hAnsiTheme="minorHAnsi"/>
          <w:sz w:val="24"/>
          <w:szCs w:val="24"/>
        </w:rPr>
      </w:pPr>
      <w:r w:rsidRPr="002C3D2B">
        <w:rPr>
          <w:rFonts w:asciiTheme="minorHAnsi" w:eastAsia="Arial" w:hAnsiTheme="minorHAnsi" w:cs="Arial"/>
          <w:sz w:val="24"/>
          <w:szCs w:val="24"/>
        </w:rPr>
        <w:t>Achieve 5400 FTES</w:t>
      </w:r>
    </w:p>
    <w:p w:rsidR="00D130BC" w:rsidRPr="002C3D2B" w:rsidRDefault="00D130BC" w:rsidP="00E30CA3">
      <w:pPr>
        <w:numPr>
          <w:ilvl w:val="0"/>
          <w:numId w:val="37"/>
        </w:numPr>
        <w:spacing w:after="0"/>
        <w:contextualSpacing/>
        <w:rPr>
          <w:rFonts w:asciiTheme="minorHAnsi" w:hAnsiTheme="minorHAnsi"/>
          <w:sz w:val="24"/>
          <w:szCs w:val="24"/>
        </w:rPr>
      </w:pPr>
      <w:r w:rsidRPr="002C3D2B">
        <w:rPr>
          <w:rFonts w:asciiTheme="minorHAnsi" w:eastAsia="Arial" w:hAnsiTheme="minorHAnsi" w:cs="Arial"/>
          <w:sz w:val="24"/>
          <w:szCs w:val="24"/>
        </w:rPr>
        <w:t>Continue to seek special-purpose funding for priority populations and needs</w:t>
      </w:r>
    </w:p>
    <w:p w:rsidR="00A816B4" w:rsidRPr="002C3D2B" w:rsidRDefault="00A816B4" w:rsidP="00E30CA3">
      <w:pPr>
        <w:pStyle w:val="ListParagraph"/>
        <w:numPr>
          <w:ilvl w:val="0"/>
          <w:numId w:val="37"/>
        </w:numPr>
        <w:rPr>
          <w:rFonts w:asciiTheme="minorHAnsi" w:hAnsiTheme="minorHAnsi"/>
          <w:sz w:val="24"/>
          <w:szCs w:val="24"/>
        </w:rPr>
      </w:pPr>
      <w:r w:rsidRPr="002C3D2B">
        <w:rPr>
          <w:rFonts w:asciiTheme="minorHAnsi" w:hAnsiTheme="minorHAnsi" w:cs="Arial"/>
          <w:sz w:val="24"/>
          <w:szCs w:val="24"/>
        </w:rPr>
        <w:t>Refine and revise the Resource Allocation Model (RAM) to meet campus needs</w:t>
      </w:r>
    </w:p>
    <w:p w:rsidR="00A816B4" w:rsidRPr="002C3D2B" w:rsidRDefault="00A816B4" w:rsidP="00E30CA3">
      <w:pPr>
        <w:pStyle w:val="ListParagraph"/>
        <w:numPr>
          <w:ilvl w:val="0"/>
          <w:numId w:val="37"/>
        </w:numPr>
        <w:rPr>
          <w:rFonts w:asciiTheme="minorHAnsi" w:hAnsiTheme="minorHAnsi"/>
          <w:sz w:val="24"/>
          <w:szCs w:val="24"/>
        </w:rPr>
      </w:pPr>
      <w:r w:rsidRPr="002C3D2B">
        <w:rPr>
          <w:rFonts w:asciiTheme="minorHAnsi" w:hAnsiTheme="minorHAnsi" w:cs="Arial"/>
          <w:sz w:val="24"/>
          <w:szCs w:val="24"/>
        </w:rPr>
        <w:t>Develop an enrollment management strategy that addresses the needs and demands of the service area</w:t>
      </w:r>
    </w:p>
    <w:p w:rsidR="00A816B4" w:rsidRPr="002C3D2B" w:rsidRDefault="00A816B4" w:rsidP="00E30CA3">
      <w:pPr>
        <w:pStyle w:val="ListParagraph"/>
        <w:numPr>
          <w:ilvl w:val="0"/>
          <w:numId w:val="37"/>
        </w:numPr>
        <w:rPr>
          <w:rFonts w:asciiTheme="minorHAnsi" w:hAnsiTheme="minorHAnsi"/>
          <w:sz w:val="24"/>
          <w:szCs w:val="24"/>
        </w:rPr>
      </w:pPr>
      <w:r w:rsidRPr="002C3D2B">
        <w:rPr>
          <w:rFonts w:asciiTheme="minorHAnsi" w:hAnsiTheme="minorHAnsi" w:cs="Arial"/>
          <w:sz w:val="24"/>
          <w:szCs w:val="24"/>
        </w:rPr>
        <w:t>Ensure institutional planning informs the allocation of resources</w:t>
      </w:r>
    </w:p>
    <w:p w:rsidR="00D130BC" w:rsidRDefault="00D130BC" w:rsidP="00A816B4">
      <w:pPr>
        <w:spacing w:after="0"/>
        <w:rPr>
          <w:rFonts w:asciiTheme="minorHAnsi" w:hAnsiTheme="minorHAnsi" w:cs="Arial"/>
          <w:sz w:val="24"/>
          <w:szCs w:val="24"/>
        </w:rPr>
      </w:pPr>
    </w:p>
    <w:p w:rsidR="00A816B4" w:rsidRPr="002C3D2B" w:rsidRDefault="00A816B4" w:rsidP="00A816B4">
      <w:pPr>
        <w:spacing w:after="0"/>
        <w:rPr>
          <w:rFonts w:asciiTheme="minorHAnsi" w:hAnsiTheme="minorHAnsi" w:cs="Arial"/>
          <w:sz w:val="24"/>
          <w:szCs w:val="24"/>
        </w:rPr>
      </w:pPr>
      <w:r w:rsidRPr="002C3D2B">
        <w:rPr>
          <w:rFonts w:asciiTheme="minorHAnsi" w:hAnsiTheme="minorHAnsi" w:cs="Arial"/>
          <w:sz w:val="24"/>
          <w:szCs w:val="24"/>
        </w:rPr>
        <w:t>Goal 2: Value the Crafton Hills College environment</w:t>
      </w:r>
    </w:p>
    <w:p w:rsidR="00A816B4" w:rsidRPr="002C3D2B" w:rsidRDefault="00D130BC" w:rsidP="00A816B4">
      <w:pPr>
        <w:rPr>
          <w:rFonts w:asciiTheme="minorHAnsi" w:hAnsiTheme="minorHAnsi" w:cs="Arial"/>
          <w:sz w:val="24"/>
          <w:szCs w:val="24"/>
        </w:rPr>
      </w:pPr>
      <w:r>
        <w:rPr>
          <w:rFonts w:asciiTheme="minorHAnsi" w:hAnsiTheme="minorHAnsi" w:cs="Arial"/>
          <w:sz w:val="24"/>
          <w:szCs w:val="24"/>
        </w:rPr>
        <w:t>Supporting Actions</w:t>
      </w:r>
      <w:r w:rsidR="00A816B4" w:rsidRPr="002C3D2B">
        <w:rPr>
          <w:rFonts w:asciiTheme="minorHAnsi" w:hAnsiTheme="minorHAnsi" w:cs="Arial"/>
          <w:sz w:val="24"/>
          <w:szCs w:val="24"/>
        </w:rPr>
        <w:t>:</w:t>
      </w:r>
    </w:p>
    <w:p w:rsidR="00A816B4" w:rsidRPr="002C3D2B" w:rsidRDefault="00A816B4" w:rsidP="00E30CA3">
      <w:pPr>
        <w:pStyle w:val="ListParagraph"/>
        <w:numPr>
          <w:ilvl w:val="0"/>
          <w:numId w:val="38"/>
        </w:numPr>
        <w:rPr>
          <w:rFonts w:asciiTheme="minorHAnsi" w:hAnsiTheme="minorHAnsi" w:cs="Arial"/>
          <w:sz w:val="24"/>
          <w:szCs w:val="24"/>
        </w:rPr>
      </w:pPr>
      <w:r w:rsidRPr="002C3D2B">
        <w:rPr>
          <w:rFonts w:asciiTheme="minorHAnsi" w:hAnsiTheme="minorHAnsi" w:cs="Arial"/>
          <w:sz w:val="24"/>
          <w:szCs w:val="24"/>
        </w:rPr>
        <w:t>Maintain a safe and secure environment</w:t>
      </w:r>
    </w:p>
    <w:p w:rsidR="00A816B4" w:rsidRPr="002C3D2B" w:rsidRDefault="00A816B4" w:rsidP="00E30CA3">
      <w:pPr>
        <w:pStyle w:val="ListParagraph"/>
        <w:numPr>
          <w:ilvl w:val="0"/>
          <w:numId w:val="38"/>
        </w:numPr>
        <w:rPr>
          <w:rFonts w:asciiTheme="minorHAnsi" w:hAnsiTheme="minorHAnsi" w:cs="Arial"/>
          <w:sz w:val="24"/>
          <w:szCs w:val="24"/>
        </w:rPr>
      </w:pPr>
      <w:r w:rsidRPr="002C3D2B">
        <w:rPr>
          <w:rFonts w:asciiTheme="minorHAnsi" w:hAnsiTheme="minorHAnsi" w:cs="Arial"/>
          <w:sz w:val="24"/>
          <w:szCs w:val="24"/>
        </w:rPr>
        <w:t>Maintain and leverage Crafton’s beautiful environment</w:t>
      </w:r>
    </w:p>
    <w:p w:rsidR="00D130BC" w:rsidRDefault="00D130BC" w:rsidP="00A816B4">
      <w:pPr>
        <w:spacing w:after="0"/>
        <w:rPr>
          <w:rFonts w:asciiTheme="minorHAnsi" w:hAnsiTheme="minorHAnsi" w:cs="Arial"/>
          <w:sz w:val="24"/>
          <w:szCs w:val="24"/>
        </w:rPr>
      </w:pPr>
    </w:p>
    <w:p w:rsidR="00A816B4" w:rsidRPr="002C3D2B" w:rsidRDefault="00A816B4" w:rsidP="00A816B4">
      <w:pPr>
        <w:spacing w:after="0"/>
        <w:rPr>
          <w:rFonts w:asciiTheme="minorHAnsi" w:hAnsiTheme="minorHAnsi" w:cs="Arial"/>
          <w:sz w:val="24"/>
          <w:szCs w:val="24"/>
        </w:rPr>
      </w:pPr>
      <w:r w:rsidRPr="002C3D2B">
        <w:rPr>
          <w:rFonts w:asciiTheme="minorHAnsi" w:hAnsiTheme="minorHAnsi" w:cs="Arial"/>
          <w:sz w:val="24"/>
          <w:szCs w:val="24"/>
        </w:rPr>
        <w:t>Goal 3: Support District’s implementation of automated processes</w:t>
      </w:r>
    </w:p>
    <w:p w:rsidR="00A816B4" w:rsidRPr="002C3D2B" w:rsidRDefault="00D130BC" w:rsidP="00A816B4">
      <w:pPr>
        <w:rPr>
          <w:rFonts w:asciiTheme="minorHAnsi" w:hAnsiTheme="minorHAnsi" w:cs="Arial"/>
          <w:sz w:val="24"/>
          <w:szCs w:val="24"/>
        </w:rPr>
      </w:pPr>
      <w:r>
        <w:rPr>
          <w:rFonts w:asciiTheme="minorHAnsi" w:hAnsiTheme="minorHAnsi" w:cs="Arial"/>
          <w:sz w:val="24"/>
          <w:szCs w:val="24"/>
        </w:rPr>
        <w:t>Supporting Actions</w:t>
      </w:r>
      <w:r w:rsidR="00A816B4" w:rsidRPr="002C3D2B">
        <w:rPr>
          <w:rFonts w:asciiTheme="minorHAnsi" w:hAnsiTheme="minorHAnsi" w:cs="Arial"/>
          <w:sz w:val="24"/>
          <w:szCs w:val="24"/>
        </w:rPr>
        <w:t>:</w:t>
      </w:r>
    </w:p>
    <w:p w:rsidR="00A816B4" w:rsidRPr="002C3D2B" w:rsidRDefault="00A816B4" w:rsidP="00E30CA3">
      <w:pPr>
        <w:pStyle w:val="ListParagraph"/>
        <w:numPr>
          <w:ilvl w:val="0"/>
          <w:numId w:val="39"/>
        </w:numPr>
        <w:rPr>
          <w:rFonts w:asciiTheme="minorHAnsi" w:hAnsiTheme="minorHAnsi" w:cs="Arial"/>
          <w:sz w:val="24"/>
          <w:szCs w:val="24"/>
        </w:rPr>
      </w:pPr>
      <w:r w:rsidRPr="002C3D2B">
        <w:rPr>
          <w:rFonts w:asciiTheme="minorHAnsi" w:hAnsiTheme="minorHAnsi" w:cs="Arial"/>
          <w:sz w:val="24"/>
          <w:szCs w:val="24"/>
        </w:rPr>
        <w:t>Provide input and support to the development of the District’s Enterprise Resource Planning (ERP) software</w:t>
      </w:r>
    </w:p>
    <w:p w:rsidR="00AD1889" w:rsidRPr="002C3D2B" w:rsidRDefault="00136838">
      <w:pPr>
        <w:spacing w:after="0"/>
        <w:rPr>
          <w:rFonts w:asciiTheme="minorHAnsi" w:hAnsiTheme="minorHAnsi"/>
          <w:sz w:val="24"/>
          <w:szCs w:val="24"/>
        </w:rPr>
      </w:pPr>
      <w:r w:rsidRPr="002C3D2B">
        <w:rPr>
          <w:rFonts w:asciiTheme="minorHAnsi" w:eastAsia="Arial" w:hAnsiTheme="minorHAnsi" w:cs="Arial"/>
          <w:sz w:val="24"/>
          <w:szCs w:val="24"/>
        </w:rPr>
        <w:t xml:space="preserve"> </w:t>
      </w:r>
    </w:p>
    <w:p w:rsidR="00AD1889" w:rsidRPr="002C3D2B" w:rsidRDefault="00136838">
      <w:pPr>
        <w:rPr>
          <w:rFonts w:asciiTheme="minorHAnsi" w:hAnsiTheme="minorHAnsi"/>
          <w:sz w:val="24"/>
          <w:szCs w:val="24"/>
        </w:rPr>
      </w:pPr>
      <w:r w:rsidRPr="002C3D2B">
        <w:rPr>
          <w:rFonts w:asciiTheme="minorHAnsi" w:eastAsia="Arial" w:hAnsiTheme="minorHAnsi" w:cs="Arial"/>
          <w:sz w:val="24"/>
          <w:szCs w:val="24"/>
        </w:rPr>
        <w:t xml:space="preserve"> </w:t>
      </w:r>
    </w:p>
    <w:p w:rsidR="00E55B94" w:rsidRDefault="00E55B94">
      <w:r>
        <w:br w:type="page"/>
      </w:r>
    </w:p>
    <w:p w:rsidR="00855D24" w:rsidRDefault="004558CA" w:rsidP="00855D24">
      <w:pPr>
        <w:pStyle w:val="Heading1"/>
        <w:numPr>
          <w:ilvl w:val="0"/>
          <w:numId w:val="2"/>
        </w:numPr>
      </w:pPr>
      <w:r>
        <w:lastRenderedPageBreak/>
        <w:t xml:space="preserve">Program of Instruction &amp; </w:t>
      </w:r>
      <w:r w:rsidR="00855D24">
        <w:t xml:space="preserve">Space </w:t>
      </w:r>
      <w:r w:rsidR="00230A28">
        <w:t>Needs</w:t>
      </w:r>
    </w:p>
    <w:p w:rsidR="00AD1889" w:rsidRDefault="00855D24" w:rsidP="00855D24">
      <w:pPr>
        <w:rPr>
          <w:rFonts w:asciiTheme="minorHAnsi" w:hAnsiTheme="minorHAnsi"/>
          <w:i/>
          <w:color w:val="0070C0"/>
        </w:rPr>
      </w:pPr>
      <w:r w:rsidRPr="00793F65">
        <w:rPr>
          <w:rFonts w:asciiTheme="minorHAnsi" w:hAnsiTheme="minorHAnsi"/>
          <w:i/>
          <w:color w:val="0070C0"/>
        </w:rPr>
        <w:t xml:space="preserve">This section provides the narrative and graphical/tabular representations that illustrate </w:t>
      </w:r>
      <w:r w:rsidR="005B1D21">
        <w:rPr>
          <w:rFonts w:asciiTheme="minorHAnsi" w:hAnsiTheme="minorHAnsi"/>
          <w:i/>
          <w:color w:val="0070C0"/>
        </w:rPr>
        <w:t xml:space="preserve">enrollment &amp; WSCH projections based on </w:t>
      </w:r>
      <w:r w:rsidR="00FB6DA3">
        <w:rPr>
          <w:rFonts w:asciiTheme="minorHAnsi" w:hAnsiTheme="minorHAnsi"/>
          <w:i/>
          <w:color w:val="0070C0"/>
        </w:rPr>
        <w:t>State</w:t>
      </w:r>
      <w:r w:rsidR="005B1D21">
        <w:rPr>
          <w:rFonts w:asciiTheme="minorHAnsi" w:hAnsiTheme="minorHAnsi"/>
          <w:i/>
          <w:color w:val="0070C0"/>
        </w:rPr>
        <w:t xml:space="preserve"> Chancellor’s Office projections for the District.  WSCH projections are also provided on a departmental level and analyzed with Title V space standards to estimate lecture and lab space needs by department.</w:t>
      </w:r>
    </w:p>
    <w:p w:rsidR="00E228F9" w:rsidRPr="00E85258" w:rsidRDefault="00233CFC" w:rsidP="00512575">
      <w:pPr>
        <w:spacing w:after="0" w:line="240" w:lineRule="auto"/>
        <w:rPr>
          <w:rFonts w:asciiTheme="minorHAnsi" w:hAnsiTheme="minorHAnsi"/>
          <w:b/>
          <w:color w:val="008000"/>
        </w:rPr>
      </w:pPr>
      <w:r w:rsidRPr="00522FDC">
        <w:rPr>
          <w:rFonts w:asciiTheme="minorHAnsi" w:hAnsiTheme="minorHAnsi"/>
          <w:b/>
          <w:color w:val="008000"/>
        </w:rPr>
        <w:t>Overview</w:t>
      </w:r>
    </w:p>
    <w:p w:rsidR="00233CFC" w:rsidRPr="00512575" w:rsidRDefault="00E85258" w:rsidP="00E12619">
      <w:pPr>
        <w:spacing w:after="0" w:line="240" w:lineRule="auto"/>
        <w:jc w:val="both"/>
        <w:rPr>
          <w:rFonts w:asciiTheme="minorHAnsi" w:hAnsiTheme="minorHAnsi"/>
        </w:rPr>
      </w:pPr>
      <w:r>
        <w:rPr>
          <w:rFonts w:asciiTheme="minorHAnsi" w:hAnsiTheme="minorHAnsi"/>
        </w:rPr>
        <w:t xml:space="preserve">The 2015 </w:t>
      </w:r>
      <w:r w:rsidR="00FB6DA3">
        <w:rPr>
          <w:rFonts w:asciiTheme="minorHAnsi" w:hAnsiTheme="minorHAnsi"/>
        </w:rPr>
        <w:t>State</w:t>
      </w:r>
      <w:r>
        <w:rPr>
          <w:rFonts w:asciiTheme="minorHAnsi" w:hAnsiTheme="minorHAnsi"/>
        </w:rPr>
        <w:t xml:space="preserve"> Chancellor’s Office </w:t>
      </w:r>
      <w:r w:rsidR="00E12619">
        <w:rPr>
          <w:rFonts w:asciiTheme="minorHAnsi" w:hAnsiTheme="minorHAnsi"/>
        </w:rPr>
        <w:t xml:space="preserve">Long Range WSCH Projections for SBCCD were utilized to establish projected enrollment and WSCH growth. From 2015-16 to 2021-22, the </w:t>
      </w:r>
      <w:r w:rsidR="00FB6DA3">
        <w:rPr>
          <w:rFonts w:asciiTheme="minorHAnsi" w:hAnsiTheme="minorHAnsi"/>
        </w:rPr>
        <w:t>State</w:t>
      </w:r>
      <w:r w:rsidR="00E12619">
        <w:rPr>
          <w:rFonts w:asciiTheme="minorHAnsi" w:hAnsiTheme="minorHAnsi"/>
        </w:rPr>
        <w:t xml:space="preserve"> anticipates that District-wide WSCH will increase by 1.7% and growth will decrease to 1.4% annually thereafter. Historical data from </w:t>
      </w:r>
      <w:r w:rsidR="006139BC">
        <w:rPr>
          <w:rFonts w:asciiTheme="minorHAnsi" w:hAnsiTheme="minorHAnsi"/>
        </w:rPr>
        <w:t xml:space="preserve">10 consecutive </w:t>
      </w:r>
      <w:r w:rsidR="00E12619">
        <w:rPr>
          <w:rFonts w:asciiTheme="minorHAnsi" w:hAnsiTheme="minorHAnsi"/>
        </w:rPr>
        <w:t>term</w:t>
      </w:r>
      <w:r w:rsidR="006139BC">
        <w:rPr>
          <w:rFonts w:asciiTheme="minorHAnsi" w:hAnsiTheme="minorHAnsi"/>
        </w:rPr>
        <w:t>s</w:t>
      </w:r>
      <w:r w:rsidR="00E12619">
        <w:rPr>
          <w:rFonts w:asciiTheme="minorHAnsi" w:hAnsiTheme="minorHAnsi"/>
        </w:rPr>
        <w:t xml:space="preserve"> </w:t>
      </w:r>
      <w:r w:rsidR="006139BC">
        <w:rPr>
          <w:rFonts w:asciiTheme="minorHAnsi" w:hAnsiTheme="minorHAnsi"/>
        </w:rPr>
        <w:t>(fall 2005 to fall 2014) suggest that Crafton Hills College is responsible for 31.65% of District-wide WSCH.</w:t>
      </w:r>
      <w:r w:rsidR="00233CFC">
        <w:rPr>
          <w:rFonts w:asciiTheme="minorHAnsi" w:hAnsiTheme="minorHAnsi"/>
        </w:rPr>
        <w:t xml:space="preserve"> Fall 2014 data established baseline program of instruction data for the College. Future program of instruction projections were developed </w:t>
      </w:r>
      <w:r w:rsidR="004558CA">
        <w:rPr>
          <w:rFonts w:asciiTheme="minorHAnsi" w:hAnsiTheme="minorHAnsi"/>
        </w:rPr>
        <w:t xml:space="preserve">and analyzed with Title V space standards to estimate instructional space needs for the College.  </w:t>
      </w:r>
    </w:p>
    <w:p w:rsidR="00E228F9" w:rsidRPr="00512575" w:rsidRDefault="00E228F9" w:rsidP="00E12619">
      <w:pPr>
        <w:spacing w:after="0" w:line="240" w:lineRule="auto"/>
        <w:jc w:val="both"/>
        <w:rPr>
          <w:rFonts w:asciiTheme="minorHAnsi" w:hAnsiTheme="minorHAnsi"/>
        </w:rPr>
      </w:pPr>
    </w:p>
    <w:p w:rsidR="00E228F9" w:rsidRDefault="004558CA" w:rsidP="00E12619">
      <w:pPr>
        <w:spacing w:after="0" w:line="240" w:lineRule="auto"/>
        <w:jc w:val="both"/>
        <w:rPr>
          <w:rFonts w:asciiTheme="minorHAnsi" w:hAnsiTheme="minorHAnsi"/>
        </w:rPr>
      </w:pPr>
      <w:r>
        <w:rPr>
          <w:rFonts w:asciiTheme="minorHAnsi" w:hAnsiTheme="minorHAnsi"/>
        </w:rPr>
        <w:t>The following considerations are accounted for within enrollment and WSCH projections:</w:t>
      </w:r>
    </w:p>
    <w:p w:rsidR="004558CA" w:rsidRDefault="004558CA" w:rsidP="004558CA">
      <w:pPr>
        <w:pStyle w:val="ListParagraph"/>
        <w:numPr>
          <w:ilvl w:val="0"/>
          <w:numId w:val="39"/>
        </w:numPr>
        <w:spacing w:after="0" w:line="240" w:lineRule="auto"/>
        <w:jc w:val="both"/>
        <w:rPr>
          <w:rFonts w:asciiTheme="minorHAnsi" w:hAnsiTheme="minorHAnsi"/>
        </w:rPr>
      </w:pPr>
      <w:r>
        <w:rPr>
          <w:rFonts w:asciiTheme="minorHAnsi" w:hAnsiTheme="minorHAnsi"/>
        </w:rPr>
        <w:t>Historical data regarding enrollment and WSCH generation</w:t>
      </w:r>
    </w:p>
    <w:p w:rsidR="004558CA" w:rsidRDefault="004558CA" w:rsidP="004558CA">
      <w:pPr>
        <w:pStyle w:val="ListParagraph"/>
        <w:numPr>
          <w:ilvl w:val="0"/>
          <w:numId w:val="39"/>
        </w:numPr>
        <w:spacing w:after="0" w:line="240" w:lineRule="auto"/>
        <w:jc w:val="both"/>
        <w:rPr>
          <w:rFonts w:asciiTheme="minorHAnsi" w:hAnsiTheme="minorHAnsi"/>
        </w:rPr>
      </w:pPr>
      <w:r>
        <w:rPr>
          <w:rFonts w:asciiTheme="minorHAnsi" w:hAnsiTheme="minorHAnsi"/>
        </w:rPr>
        <w:t>Projected population growth within the College service area and region</w:t>
      </w:r>
    </w:p>
    <w:p w:rsidR="004558CA" w:rsidRDefault="004558CA" w:rsidP="004558CA">
      <w:pPr>
        <w:pStyle w:val="ListParagraph"/>
        <w:numPr>
          <w:ilvl w:val="0"/>
          <w:numId w:val="39"/>
        </w:numPr>
        <w:spacing w:after="0" w:line="240" w:lineRule="auto"/>
        <w:jc w:val="both"/>
        <w:rPr>
          <w:rFonts w:asciiTheme="minorHAnsi" w:hAnsiTheme="minorHAnsi"/>
        </w:rPr>
      </w:pPr>
      <w:r w:rsidRPr="004558CA">
        <w:rPr>
          <w:rFonts w:asciiTheme="minorHAnsi" w:hAnsiTheme="minorHAnsi"/>
        </w:rPr>
        <w:t>Historical participation rate of the population’</w:t>
      </w:r>
      <w:r>
        <w:rPr>
          <w:rFonts w:asciiTheme="minorHAnsi" w:hAnsiTheme="minorHAnsi"/>
        </w:rPr>
        <w:t>s enrollment at</w:t>
      </w:r>
      <w:r w:rsidRPr="004558CA">
        <w:rPr>
          <w:rFonts w:asciiTheme="minorHAnsi" w:hAnsiTheme="minorHAnsi"/>
        </w:rPr>
        <w:t xml:space="preserve"> CHC</w:t>
      </w:r>
    </w:p>
    <w:p w:rsidR="004558CA" w:rsidRDefault="004558CA" w:rsidP="004558CA">
      <w:pPr>
        <w:pStyle w:val="ListParagraph"/>
        <w:numPr>
          <w:ilvl w:val="0"/>
          <w:numId w:val="39"/>
        </w:numPr>
        <w:spacing w:after="0" w:line="240" w:lineRule="auto"/>
        <w:jc w:val="both"/>
        <w:rPr>
          <w:rFonts w:asciiTheme="minorHAnsi" w:hAnsiTheme="minorHAnsi"/>
        </w:rPr>
      </w:pPr>
      <w:r>
        <w:rPr>
          <w:rFonts w:asciiTheme="minorHAnsi" w:hAnsiTheme="minorHAnsi"/>
        </w:rPr>
        <w:t xml:space="preserve">Conditions within the external </w:t>
      </w:r>
      <w:r w:rsidR="00522FDC">
        <w:rPr>
          <w:rFonts w:asciiTheme="minorHAnsi" w:hAnsiTheme="minorHAnsi"/>
        </w:rPr>
        <w:t xml:space="preserve">and internal </w:t>
      </w:r>
      <w:r>
        <w:rPr>
          <w:rFonts w:asciiTheme="minorHAnsi" w:hAnsiTheme="minorHAnsi"/>
        </w:rPr>
        <w:t>environment</w:t>
      </w:r>
    </w:p>
    <w:p w:rsidR="00522FDC" w:rsidRDefault="00522FDC" w:rsidP="00522FDC">
      <w:pPr>
        <w:spacing w:after="0" w:line="240" w:lineRule="auto"/>
        <w:jc w:val="both"/>
        <w:rPr>
          <w:rFonts w:asciiTheme="minorHAnsi" w:hAnsiTheme="minorHAnsi"/>
        </w:rPr>
      </w:pPr>
    </w:p>
    <w:p w:rsidR="00522FDC" w:rsidRPr="00522FDC" w:rsidRDefault="00822DAC" w:rsidP="00522FDC">
      <w:pPr>
        <w:spacing w:after="0" w:line="240" w:lineRule="auto"/>
        <w:jc w:val="both"/>
        <w:rPr>
          <w:rFonts w:asciiTheme="minorHAnsi" w:hAnsiTheme="minorHAnsi"/>
          <w:b/>
          <w:color w:val="008000"/>
        </w:rPr>
      </w:pPr>
      <w:r>
        <w:rPr>
          <w:rFonts w:asciiTheme="minorHAnsi" w:hAnsiTheme="minorHAnsi"/>
          <w:b/>
          <w:color w:val="008000"/>
        </w:rPr>
        <w:t>Program of Instruction</w:t>
      </w:r>
    </w:p>
    <w:p w:rsidR="009E2A80" w:rsidRDefault="009E2A80" w:rsidP="00822DAC">
      <w:pPr>
        <w:spacing w:after="0" w:line="240" w:lineRule="auto"/>
        <w:jc w:val="both"/>
        <w:rPr>
          <w:rFonts w:asciiTheme="minorHAnsi" w:hAnsiTheme="minorHAnsi"/>
        </w:rPr>
      </w:pPr>
      <w:r>
        <w:rPr>
          <w:rFonts w:asciiTheme="minorHAnsi" w:hAnsiTheme="minorHAnsi"/>
        </w:rPr>
        <w:t xml:space="preserve">The primary metric for determining the total student demand on facilities space needs is WSCH. This measurement is representative of the student contact hours within instructional space on campus during the semester.  </w:t>
      </w:r>
      <w:r w:rsidR="00822DAC">
        <w:rPr>
          <w:rFonts w:asciiTheme="minorHAnsi" w:hAnsiTheme="minorHAnsi"/>
        </w:rPr>
        <w:t>Fall 2014 data was utilized to determine a baseline for WSCH generation by department and establish a baseline program of instruction.</w:t>
      </w:r>
    </w:p>
    <w:p w:rsidR="000D7D25" w:rsidRDefault="000D7D25" w:rsidP="00822DAC">
      <w:pPr>
        <w:spacing w:after="0" w:line="240" w:lineRule="auto"/>
        <w:jc w:val="both"/>
        <w:rPr>
          <w:rFonts w:asciiTheme="minorHAnsi" w:hAnsiTheme="minorHAnsi"/>
        </w:rPr>
      </w:pPr>
    </w:p>
    <w:p w:rsidR="00E81B07" w:rsidRDefault="000D7D25" w:rsidP="00822DAC">
      <w:pPr>
        <w:spacing w:after="0" w:line="240" w:lineRule="auto"/>
        <w:jc w:val="both"/>
        <w:rPr>
          <w:rFonts w:asciiTheme="minorHAnsi" w:hAnsiTheme="minorHAnsi"/>
        </w:rPr>
      </w:pPr>
      <w:r>
        <w:rPr>
          <w:rFonts w:asciiTheme="minorHAnsi" w:hAnsiTheme="minorHAnsi"/>
        </w:rPr>
        <w:t xml:space="preserve">Math and English comprise the largest WSCH generating subjects for the College, constituting 14.7% and 13.1% of WSCH during the fall 2014 semester, respectively.  The next highest group of WSCH generating subjects at the College </w:t>
      </w:r>
      <w:r w:rsidR="00E81B07">
        <w:rPr>
          <w:rFonts w:asciiTheme="minorHAnsi" w:hAnsiTheme="minorHAnsi"/>
        </w:rPr>
        <w:t xml:space="preserve">generated between 4.4% and 4.7% of total WSCH during the fall 2014 semester, which include Anatomy, Emergency Medical Services and Chemistry.  </w:t>
      </w:r>
    </w:p>
    <w:p w:rsidR="000D7D25" w:rsidRDefault="000D7D25" w:rsidP="00822DAC">
      <w:pPr>
        <w:spacing w:after="0" w:line="240" w:lineRule="auto"/>
        <w:jc w:val="both"/>
        <w:rPr>
          <w:rFonts w:asciiTheme="minorHAnsi" w:hAnsiTheme="minorHAnsi"/>
        </w:rPr>
      </w:pPr>
    </w:p>
    <w:p w:rsidR="00E81B07" w:rsidRDefault="00D11F89" w:rsidP="00822DAC">
      <w:pPr>
        <w:spacing w:after="0" w:line="240" w:lineRule="auto"/>
        <w:jc w:val="both"/>
        <w:rPr>
          <w:rFonts w:asciiTheme="minorHAnsi" w:hAnsiTheme="minorHAnsi"/>
        </w:rPr>
      </w:pPr>
      <w:r>
        <w:rPr>
          <w:rFonts w:asciiTheme="minorHAnsi" w:hAnsiTheme="minorHAnsi"/>
        </w:rPr>
        <w:t>Future program of instruction projections anticipate that the College may see a fractional decrease in WSCH generation by the fall 2016 term, from 67,571 WSCH during fall 2014 to</w:t>
      </w:r>
      <w:r w:rsidR="00230A28">
        <w:rPr>
          <w:rFonts w:asciiTheme="minorHAnsi" w:hAnsiTheme="minorHAnsi"/>
        </w:rPr>
        <w:t xml:space="preserve"> 67,106 WSCH during fall 2016 (</w:t>
      </w:r>
      <w:r>
        <w:rPr>
          <w:rFonts w:asciiTheme="minorHAnsi" w:hAnsiTheme="minorHAnsi"/>
        </w:rPr>
        <w:t>0.95%</w:t>
      </w:r>
      <w:r w:rsidR="00230A28">
        <w:rPr>
          <w:rFonts w:asciiTheme="minorHAnsi" w:hAnsiTheme="minorHAnsi"/>
        </w:rPr>
        <w:t xml:space="preserve"> decline over 2 years</w:t>
      </w:r>
      <w:r>
        <w:rPr>
          <w:rFonts w:asciiTheme="minorHAnsi" w:hAnsiTheme="minorHAnsi"/>
        </w:rPr>
        <w:t xml:space="preserve">).  </w:t>
      </w:r>
      <w:r w:rsidR="00230A28">
        <w:rPr>
          <w:rFonts w:asciiTheme="minorHAnsi" w:hAnsiTheme="minorHAnsi"/>
        </w:rPr>
        <w:t xml:space="preserve">From fall 2016 to fall 2021, the College is expected to increase its WSCH generation to 72,969 WSCH (8.74% growth over 5 years).  From fall 2021 to fall 2026, the College is expected to increase its WSCH generation to 78,274 WSCH (7.27% growth over 5 years).  From fall 2026 to fall 2031, the College is expected to grow to generating 83,909 WSCH (7.2% growth over 5 years).  </w:t>
      </w:r>
    </w:p>
    <w:p w:rsidR="00E81B07" w:rsidRDefault="00E81B07" w:rsidP="00822DAC">
      <w:pPr>
        <w:spacing w:after="0" w:line="240" w:lineRule="auto"/>
        <w:jc w:val="both"/>
        <w:rPr>
          <w:rFonts w:asciiTheme="minorHAnsi" w:hAnsiTheme="minorHAnsi"/>
        </w:rPr>
      </w:pPr>
    </w:p>
    <w:p w:rsidR="00E81B07" w:rsidRDefault="00E81B07" w:rsidP="00822DAC">
      <w:pPr>
        <w:spacing w:after="0" w:line="240" w:lineRule="auto"/>
        <w:jc w:val="both"/>
        <w:rPr>
          <w:rFonts w:asciiTheme="minorHAnsi" w:hAnsiTheme="minorHAnsi"/>
        </w:rPr>
      </w:pPr>
    </w:p>
    <w:p w:rsidR="00E81B07" w:rsidRDefault="00E81B07" w:rsidP="00822DAC">
      <w:pPr>
        <w:spacing w:after="0" w:line="240" w:lineRule="auto"/>
        <w:jc w:val="both"/>
        <w:rPr>
          <w:rFonts w:asciiTheme="minorHAnsi" w:hAnsiTheme="minorHAnsi"/>
        </w:rPr>
      </w:pPr>
    </w:p>
    <w:p w:rsidR="00D11F89" w:rsidRDefault="00D11F89" w:rsidP="00822DAC">
      <w:pPr>
        <w:spacing w:after="0" w:line="240" w:lineRule="auto"/>
        <w:jc w:val="both"/>
        <w:rPr>
          <w:rFonts w:asciiTheme="minorHAnsi" w:hAnsiTheme="minorHAnsi"/>
        </w:rPr>
      </w:pPr>
    </w:p>
    <w:p w:rsidR="00230A28" w:rsidRDefault="00230A28" w:rsidP="00822DAC">
      <w:pPr>
        <w:spacing w:after="0" w:line="240" w:lineRule="auto"/>
        <w:jc w:val="both"/>
        <w:rPr>
          <w:rFonts w:asciiTheme="minorHAnsi" w:hAnsiTheme="minorHAnsi"/>
        </w:rPr>
      </w:pPr>
    </w:p>
    <w:p w:rsidR="00230A28" w:rsidRDefault="00230A28" w:rsidP="00822DAC">
      <w:pPr>
        <w:spacing w:after="0" w:line="240" w:lineRule="auto"/>
        <w:jc w:val="both"/>
        <w:rPr>
          <w:rFonts w:asciiTheme="minorHAnsi" w:hAnsiTheme="minorHAnsi"/>
        </w:rPr>
      </w:pPr>
    </w:p>
    <w:p w:rsidR="00E81B07" w:rsidRDefault="00E81B07" w:rsidP="00822DAC">
      <w:pPr>
        <w:spacing w:after="0" w:line="240" w:lineRule="auto"/>
        <w:jc w:val="both"/>
        <w:rPr>
          <w:rFonts w:asciiTheme="minorHAnsi" w:hAnsiTheme="minorHAnsi"/>
        </w:rPr>
      </w:pPr>
    </w:p>
    <w:p w:rsidR="00822DAC" w:rsidRPr="000D7D25" w:rsidRDefault="00E81B07" w:rsidP="000D7D25">
      <w:pPr>
        <w:spacing w:after="0" w:line="240" w:lineRule="auto"/>
        <w:jc w:val="center"/>
        <w:rPr>
          <w:rFonts w:asciiTheme="minorHAnsi" w:hAnsiTheme="minorHAnsi"/>
          <w:b/>
          <w:color w:val="008000"/>
        </w:rPr>
      </w:pPr>
      <w:r>
        <w:rPr>
          <w:rFonts w:asciiTheme="minorHAnsi" w:hAnsiTheme="minorHAnsi"/>
          <w:b/>
          <w:color w:val="008000"/>
        </w:rPr>
        <w:lastRenderedPageBreak/>
        <w:t xml:space="preserve">Exhibit X.XX </w:t>
      </w:r>
      <w:r w:rsidR="000D7D25" w:rsidRPr="000D7D25">
        <w:rPr>
          <w:rFonts w:asciiTheme="minorHAnsi" w:hAnsiTheme="minorHAnsi"/>
          <w:b/>
          <w:color w:val="008000"/>
        </w:rPr>
        <w:t>Program of Instruction (Fall 2014</w:t>
      </w:r>
      <w:r>
        <w:rPr>
          <w:rFonts w:asciiTheme="minorHAnsi" w:hAnsiTheme="minorHAnsi"/>
          <w:b/>
          <w:color w:val="008000"/>
        </w:rPr>
        <w:t xml:space="preserve"> – </w:t>
      </w:r>
      <w:proofErr w:type="gramStart"/>
      <w:r>
        <w:rPr>
          <w:rFonts w:asciiTheme="minorHAnsi" w:hAnsiTheme="minorHAnsi"/>
          <w:b/>
          <w:color w:val="008000"/>
        </w:rPr>
        <w:t>Fall</w:t>
      </w:r>
      <w:proofErr w:type="gramEnd"/>
      <w:r>
        <w:rPr>
          <w:rFonts w:asciiTheme="minorHAnsi" w:hAnsiTheme="minorHAnsi"/>
          <w:b/>
          <w:color w:val="008000"/>
        </w:rPr>
        <w:t xml:space="preserve"> 2031</w:t>
      </w:r>
      <w:r w:rsidR="000D7D25" w:rsidRPr="000D7D25">
        <w:rPr>
          <w:rFonts w:asciiTheme="minorHAnsi" w:hAnsiTheme="minorHAnsi"/>
          <w:b/>
          <w:color w:val="008000"/>
        </w:rPr>
        <w:t>)</w:t>
      </w:r>
    </w:p>
    <w:tbl>
      <w:tblPr>
        <w:tblW w:w="9681" w:type="dxa"/>
        <w:tblInd w:w="18" w:type="dxa"/>
        <w:tblLook w:val="04A0" w:firstRow="1" w:lastRow="0" w:firstColumn="1" w:lastColumn="0" w:noHBand="0" w:noVBand="1"/>
      </w:tblPr>
      <w:tblGrid>
        <w:gridCol w:w="3870"/>
        <w:gridCol w:w="1080"/>
        <w:gridCol w:w="947"/>
        <w:gridCol w:w="946"/>
        <w:gridCol w:w="946"/>
        <w:gridCol w:w="946"/>
        <w:gridCol w:w="946"/>
      </w:tblGrid>
      <w:tr w:rsidR="00E81B07" w:rsidRPr="00E81B07" w:rsidTr="005455AF">
        <w:trPr>
          <w:trHeight w:val="152"/>
        </w:trPr>
        <w:tc>
          <w:tcPr>
            <w:tcW w:w="387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Department</w:t>
            </w:r>
          </w:p>
        </w:tc>
        <w:tc>
          <w:tcPr>
            <w:tcW w:w="5811" w:type="dxa"/>
            <w:gridSpan w:val="6"/>
            <w:tcBorders>
              <w:top w:val="single" w:sz="4" w:space="0" w:color="auto"/>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CHC - FALL WSCH BY COURSE TYPE</w:t>
            </w:r>
          </w:p>
        </w:tc>
      </w:tr>
      <w:tr w:rsidR="00E81B07" w:rsidRPr="00E81B07" w:rsidTr="005455AF">
        <w:trPr>
          <w:trHeight w:val="152"/>
        </w:trPr>
        <w:tc>
          <w:tcPr>
            <w:tcW w:w="3870" w:type="dxa"/>
            <w:vMerge/>
            <w:tcBorders>
              <w:top w:val="single" w:sz="4" w:space="0" w:color="auto"/>
              <w:left w:val="single" w:sz="4" w:space="0" w:color="auto"/>
              <w:bottom w:val="single" w:sz="4" w:space="0" w:color="auto"/>
              <w:right w:val="single" w:sz="4" w:space="0" w:color="auto"/>
            </w:tcBorders>
            <w:vAlign w:val="center"/>
            <w:hideMark/>
          </w:tcPr>
          <w:p w:rsidR="00E81B07" w:rsidRPr="00E81B07" w:rsidRDefault="00E81B07" w:rsidP="00E81B07">
            <w:pPr>
              <w:spacing w:after="0" w:line="240" w:lineRule="auto"/>
              <w:rPr>
                <w:rFonts w:ascii="Calibri" w:eastAsia="Times New Roman" w:hAnsi="Calibri" w:cs="Times New Roman"/>
                <w:b/>
                <w:bCs/>
                <w:color w:val="FFFFFF"/>
              </w:rPr>
            </w:pPr>
          </w:p>
        </w:tc>
        <w:tc>
          <w:tcPr>
            <w:tcW w:w="1080"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rPr>
                <w:rFonts w:ascii="Calibri" w:eastAsia="Times New Roman" w:hAnsi="Calibri" w:cs="Times New Roman"/>
                <w:b/>
                <w:bCs/>
                <w:color w:val="FFFFFF"/>
              </w:rPr>
            </w:pPr>
            <w:r w:rsidRPr="00E81B07">
              <w:rPr>
                <w:rFonts w:ascii="Calibri" w:eastAsia="Times New Roman" w:hAnsi="Calibri" w:cs="Times New Roman"/>
                <w:b/>
                <w:bCs/>
                <w:color w:val="FFFFFF"/>
              </w:rPr>
              <w:t>Subject</w:t>
            </w:r>
          </w:p>
        </w:tc>
        <w:tc>
          <w:tcPr>
            <w:tcW w:w="947"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2014</w:t>
            </w:r>
          </w:p>
        </w:tc>
        <w:tc>
          <w:tcPr>
            <w:tcW w:w="946"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2016</w:t>
            </w:r>
          </w:p>
        </w:tc>
        <w:tc>
          <w:tcPr>
            <w:tcW w:w="946"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2021</w:t>
            </w:r>
          </w:p>
        </w:tc>
        <w:tc>
          <w:tcPr>
            <w:tcW w:w="946"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2026</w:t>
            </w:r>
          </w:p>
        </w:tc>
        <w:tc>
          <w:tcPr>
            <w:tcW w:w="946" w:type="dxa"/>
            <w:tcBorders>
              <w:top w:val="nil"/>
              <w:left w:val="nil"/>
              <w:bottom w:val="single" w:sz="4" w:space="0" w:color="auto"/>
              <w:right w:val="single" w:sz="4" w:space="0" w:color="auto"/>
            </w:tcBorders>
            <w:shd w:val="clear" w:color="000000" w:fill="76933C"/>
            <w:noWrap/>
            <w:vAlign w:val="center"/>
            <w:hideMark/>
          </w:tcPr>
          <w:p w:rsidR="00E81B07" w:rsidRPr="00E81B07" w:rsidRDefault="00E81B07" w:rsidP="00E81B07">
            <w:pPr>
              <w:spacing w:after="0" w:line="240" w:lineRule="auto"/>
              <w:jc w:val="center"/>
              <w:rPr>
                <w:rFonts w:ascii="Calibri" w:eastAsia="Times New Roman" w:hAnsi="Calibri" w:cs="Times New Roman"/>
                <w:b/>
                <w:bCs/>
                <w:color w:val="FFFFFF"/>
              </w:rPr>
            </w:pPr>
            <w:r w:rsidRPr="00E81B07">
              <w:rPr>
                <w:rFonts w:ascii="Calibri" w:eastAsia="Times New Roman" w:hAnsi="Calibri" w:cs="Times New Roman"/>
                <w:b/>
                <w:bCs/>
                <w:color w:val="FFFFFF"/>
              </w:rPr>
              <w:t>2031</w:t>
            </w:r>
          </w:p>
        </w:tc>
      </w:tr>
      <w:tr w:rsidR="00E81B07" w:rsidRPr="00E81B07" w:rsidTr="005455AF">
        <w:trPr>
          <w:trHeight w:val="143"/>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Accounting (ACCT)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ACCT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572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616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661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708</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Allied Health (AH)</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AH</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422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418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454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487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522</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Anatomy (ANAT)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ANAT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3,192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3,161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3,437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3,687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3,953</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Anthropology (ANTHRO)</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ANTHRO</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415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411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447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480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514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Arabic (ARAB/ARABIC)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ARABIC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88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Art (ART)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ART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1,314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1,302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1,416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1,519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1,628</w:t>
            </w:r>
          </w:p>
        </w:tc>
      </w:tr>
      <w:tr w:rsidR="00E81B07" w:rsidRPr="00E81B07" w:rsidTr="005455AF">
        <w:trPr>
          <w:trHeight w:val="98"/>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American Sign Language (ASL)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ASL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960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951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1,034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1,109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1,189</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Astronomy (ASTRON)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ASTRON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300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323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372</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Biology (BIOL)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BIOL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2,177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2,156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2,345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2,515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2,696</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Business Administration (BUSAD)</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BUSAD</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758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751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817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876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939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Child Development (CD)</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CD</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885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876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953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1,022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1,096</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College Life (CHC)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CHC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572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616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661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709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Chemistry (CHEM)</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CHEM</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3,014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2,985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3,246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3,482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3,733</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Computer Information Systems (CIS)</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CIS</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1,514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1,499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1,630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1,749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1,875</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Communication Studies (COMMST)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COMMST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1,745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1,728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2,016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2,161</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Computer Science (CSCI)</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CSCI</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320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317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369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396</w:t>
            </w:r>
          </w:p>
        </w:tc>
      </w:tr>
      <w:tr w:rsidR="00E81B07" w:rsidRPr="00E81B07" w:rsidTr="005455AF">
        <w:trPr>
          <w:trHeight w:val="98"/>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Dance (DANCE)</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DANCE</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166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192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206</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Economics (ECON)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ECON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667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660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718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770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826</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Education (EDU)</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EDU</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90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111</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Emergency Medical Services (EMS)</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EMS</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3,124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3,094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3,364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3,609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3,869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Public Safety &amp; Services (PBSF)</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PBSF</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93</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D11F89"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English</w:t>
            </w:r>
            <w:r w:rsidR="00E81B07" w:rsidRPr="00E81B07">
              <w:rPr>
                <w:rFonts w:ascii="Calibri" w:eastAsia="Times New Roman" w:hAnsi="Calibri" w:cs="Times New Roman"/>
                <w:color w:val="auto"/>
              </w:rPr>
              <w:t xml:space="preserve"> (ENGL)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ENGL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color w:val="auto"/>
              </w:rPr>
            </w:pPr>
            <w:r w:rsidRPr="00E81B07">
              <w:rPr>
                <w:rFonts w:ascii="Calibri" w:eastAsia="Times New Roman" w:hAnsi="Calibri" w:cs="Times New Roman"/>
                <w:color w:val="auto"/>
              </w:rPr>
              <w:t>8,900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8,815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9,585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10,282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11,022</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Fire Technology (FIRET)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FIRET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1,511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1,497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1,628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1,746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1,872</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Geography (GEOG)</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GEOG</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302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325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374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Geology (GEOL)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GEOL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407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403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438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470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504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Health Education (HEALTH)</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HEALTH</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1,627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1,611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1,752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2,015</w:t>
            </w:r>
          </w:p>
        </w:tc>
      </w:tr>
      <w:tr w:rsidR="00E81B07" w:rsidRPr="00E81B07" w:rsidTr="005455AF">
        <w:trPr>
          <w:trHeight w:val="98"/>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History (HIST)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HIST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2,147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2,334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2,504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2,684</w:t>
            </w:r>
          </w:p>
        </w:tc>
      </w:tr>
      <w:tr w:rsidR="00E81B07" w:rsidRPr="00E81B07" w:rsidTr="005455AF">
        <w:trPr>
          <w:trHeight w:val="98"/>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Humanities (HUM)</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HUM</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233</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Japanese (JAPN)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JAPN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510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505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549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589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631</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Journalism (JOUR)</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JOUR</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56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65</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Kinesiology(KIN)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KIN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320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343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368</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Kinesiology Dance (KIN/D)</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KIN/D</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Kinesiology Fitness (KINF)</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KIN/F</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1,796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1,934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2,075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2,224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Kinesiology Team/Sport &amp; Skill (KINS)</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KIN/S</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255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253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275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295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316</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Learning Resources (LRC)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LRC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1,162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1,151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1,251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1,342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1,439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Mathematics (MATH)</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MATH</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9,964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9,869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10,731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11,511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12,340</w:t>
            </w:r>
          </w:p>
        </w:tc>
      </w:tr>
      <w:tr w:rsidR="00E81B07" w:rsidRPr="00E81B07" w:rsidTr="005455AF">
        <w:trPr>
          <w:trHeight w:val="107"/>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Microbiology (MICRO)</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MICRO</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1,046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1,036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1,126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1,208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1,295</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Music (MUS/MUSIC)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MUSIC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1,390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1,377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1,497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1,606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1,721</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Oceanography (OCEAN)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OCEAN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201</w:t>
            </w:r>
          </w:p>
        </w:tc>
      </w:tr>
      <w:tr w:rsidR="00E81B07" w:rsidRPr="00E81B07" w:rsidTr="005455AF">
        <w:trPr>
          <w:trHeight w:val="8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Philosophy/Religious Studies (PHIL)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PHIL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759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752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818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877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941</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Physics (PHYSIC)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PHYSIC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840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832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905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970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1,040</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Political Science (POLIT)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POLIT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1,077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1,160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1,245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1,334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Psychology (PSYCH)</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PSYCH</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1,885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1,867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2,030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2,178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2,334</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lastRenderedPageBreak/>
              <w:t>Radiologic Technology (RADIOL)</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RADIOL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987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978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1,063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1,140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1,223</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Reading &amp; Skills Study (READ)</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READ</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1,396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1,383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1,504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1,613</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1,729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Religious Studies (RELIG)</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RELIG</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338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335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364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390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419</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Respiratory Care (RESP)</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RESP</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2,186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2,165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2,355</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2,526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2,708</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Sociology (SOC)</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SOC</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1,714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1,698</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1,846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1,981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2,123</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Spanish (SPAN)</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SPAN</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1,394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1,380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1,501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1,610</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1,726</w:t>
            </w:r>
          </w:p>
        </w:tc>
      </w:tr>
      <w:tr w:rsidR="00E81B07" w:rsidRPr="00E81B07" w:rsidTr="005455AF">
        <w:trPr>
          <w:trHeight w:val="70"/>
        </w:trPr>
        <w:tc>
          <w:tcPr>
            <w:tcW w:w="3870" w:type="dxa"/>
            <w:tcBorders>
              <w:top w:val="nil"/>
              <w:left w:val="single" w:sz="4" w:space="0" w:color="auto"/>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color w:val="auto"/>
              </w:rPr>
            </w:pPr>
            <w:r w:rsidRPr="00E81B07">
              <w:rPr>
                <w:rFonts w:ascii="Calibri" w:eastAsia="Times New Roman" w:hAnsi="Calibri" w:cs="Times New Roman"/>
                <w:color w:val="auto"/>
              </w:rPr>
              <w:t>Theater Arts (THART)</w:t>
            </w:r>
          </w:p>
        </w:tc>
        <w:tc>
          <w:tcPr>
            <w:tcW w:w="1080"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rPr>
                <w:rFonts w:ascii="Calibri" w:eastAsia="Times New Roman" w:hAnsi="Calibri" w:cs="Times New Roman"/>
              </w:rPr>
            </w:pPr>
            <w:r w:rsidRPr="00E81B07">
              <w:rPr>
                <w:rFonts w:ascii="Calibri" w:eastAsia="Times New Roman" w:hAnsi="Calibri" w:cs="Times New Roman"/>
              </w:rPr>
              <w:t>THART</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1,002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992</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1,079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1,157</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rPr>
            </w:pPr>
            <w:r w:rsidRPr="00E81B07">
              <w:rPr>
                <w:rFonts w:ascii="Calibri" w:eastAsia="Times New Roman" w:hAnsi="Calibri" w:cs="Times New Roman"/>
              </w:rPr>
              <w:t>1,240</w:t>
            </w:r>
          </w:p>
        </w:tc>
      </w:tr>
      <w:tr w:rsidR="00E81B07" w:rsidRPr="00E81B07" w:rsidTr="005455AF">
        <w:trPr>
          <w:trHeight w:val="70"/>
        </w:trPr>
        <w:tc>
          <w:tcPr>
            <w:tcW w:w="49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TOTAL</w:t>
            </w:r>
          </w:p>
        </w:tc>
        <w:tc>
          <w:tcPr>
            <w:tcW w:w="947"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67,751</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67,106</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72,969</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78,274</w:t>
            </w:r>
          </w:p>
        </w:tc>
        <w:tc>
          <w:tcPr>
            <w:tcW w:w="946" w:type="dxa"/>
            <w:tcBorders>
              <w:top w:val="nil"/>
              <w:left w:val="nil"/>
              <w:bottom w:val="single" w:sz="4" w:space="0" w:color="auto"/>
              <w:right w:val="single" w:sz="4" w:space="0" w:color="auto"/>
            </w:tcBorders>
            <w:shd w:val="clear" w:color="auto" w:fill="auto"/>
            <w:noWrap/>
            <w:vAlign w:val="bottom"/>
            <w:hideMark/>
          </w:tcPr>
          <w:p w:rsidR="00E81B07" w:rsidRPr="00E81B07" w:rsidRDefault="00E81B07" w:rsidP="00E81B07">
            <w:pPr>
              <w:spacing w:after="0" w:line="240" w:lineRule="auto"/>
              <w:jc w:val="center"/>
              <w:rPr>
                <w:rFonts w:ascii="Calibri" w:eastAsia="Times New Roman" w:hAnsi="Calibri" w:cs="Times New Roman"/>
                <w:b/>
                <w:bCs/>
              </w:rPr>
            </w:pPr>
            <w:r w:rsidRPr="00E81B07">
              <w:rPr>
                <w:rFonts w:ascii="Calibri" w:eastAsia="Times New Roman" w:hAnsi="Calibri" w:cs="Times New Roman"/>
                <w:b/>
                <w:bCs/>
              </w:rPr>
              <w:t>83,909</w:t>
            </w:r>
          </w:p>
        </w:tc>
      </w:tr>
    </w:tbl>
    <w:p w:rsidR="00E228F9" w:rsidRDefault="00E228F9" w:rsidP="00512575">
      <w:pPr>
        <w:spacing w:after="0" w:line="240" w:lineRule="auto"/>
        <w:rPr>
          <w:rFonts w:asciiTheme="minorHAnsi" w:hAnsiTheme="minorHAnsi"/>
        </w:rPr>
      </w:pPr>
    </w:p>
    <w:p w:rsidR="00230A28" w:rsidRPr="005455AF" w:rsidRDefault="005455AF" w:rsidP="00512575">
      <w:pPr>
        <w:spacing w:after="0" w:line="240" w:lineRule="auto"/>
        <w:rPr>
          <w:rFonts w:asciiTheme="minorHAnsi" w:hAnsiTheme="minorHAnsi"/>
          <w:b/>
          <w:color w:val="008000"/>
        </w:rPr>
      </w:pPr>
      <w:r w:rsidRPr="005455AF">
        <w:rPr>
          <w:rFonts w:asciiTheme="minorHAnsi" w:hAnsiTheme="minorHAnsi"/>
          <w:b/>
          <w:color w:val="008000"/>
        </w:rPr>
        <w:t xml:space="preserve">Current and Future </w:t>
      </w:r>
      <w:r w:rsidR="00FB7CA6">
        <w:rPr>
          <w:rFonts w:asciiTheme="minorHAnsi" w:hAnsiTheme="minorHAnsi"/>
          <w:b/>
          <w:color w:val="008000"/>
        </w:rPr>
        <w:t xml:space="preserve">Instructional </w:t>
      </w:r>
      <w:r w:rsidRPr="005455AF">
        <w:rPr>
          <w:rFonts w:asciiTheme="minorHAnsi" w:hAnsiTheme="minorHAnsi"/>
          <w:b/>
          <w:color w:val="008000"/>
        </w:rPr>
        <w:t>Space Needs</w:t>
      </w:r>
    </w:p>
    <w:p w:rsidR="00E228F9" w:rsidRDefault="0090010D" w:rsidP="00093295">
      <w:pPr>
        <w:spacing w:after="0" w:line="240" w:lineRule="auto"/>
        <w:jc w:val="both"/>
        <w:rPr>
          <w:rFonts w:asciiTheme="minorHAnsi" w:hAnsiTheme="minorHAnsi"/>
        </w:rPr>
      </w:pPr>
      <w:r>
        <w:rPr>
          <w:rFonts w:asciiTheme="minorHAnsi" w:hAnsiTheme="minorHAnsi"/>
        </w:rPr>
        <w:t>The amount of assignable square footage (ASF) required at CHC to accommodate current and projected growth is based on the College’s WSCH projections, fall 2014 baseline program of instructio</w:t>
      </w:r>
      <w:r w:rsidR="00CC771E">
        <w:rPr>
          <w:rFonts w:asciiTheme="minorHAnsi" w:hAnsiTheme="minorHAnsi"/>
        </w:rPr>
        <w:t xml:space="preserve">n and Title V space standards.  </w:t>
      </w:r>
      <w:r>
        <w:rPr>
          <w:rFonts w:asciiTheme="minorHAnsi" w:hAnsiTheme="minorHAnsi"/>
        </w:rPr>
        <w:t xml:space="preserve">By utilizing the 2015 </w:t>
      </w:r>
      <w:r w:rsidR="00FB6DA3">
        <w:rPr>
          <w:rFonts w:asciiTheme="minorHAnsi" w:hAnsiTheme="minorHAnsi"/>
        </w:rPr>
        <w:t>State</w:t>
      </w:r>
      <w:r>
        <w:rPr>
          <w:rFonts w:asciiTheme="minorHAnsi" w:hAnsiTheme="minorHAnsi"/>
        </w:rPr>
        <w:t xml:space="preserve"> Chancellor’s Office Long Range WSCH projection growth estimates </w:t>
      </w:r>
      <w:r w:rsidR="006D7A9D">
        <w:rPr>
          <w:rFonts w:asciiTheme="minorHAnsi" w:hAnsiTheme="minorHAnsi"/>
        </w:rPr>
        <w:t>and Title V space standards, a c</w:t>
      </w:r>
      <w:r>
        <w:rPr>
          <w:rFonts w:asciiTheme="minorHAnsi" w:hAnsiTheme="minorHAnsi"/>
        </w:rPr>
        <w:t xml:space="preserve">ollege </w:t>
      </w:r>
      <w:r w:rsidR="006D7A9D">
        <w:rPr>
          <w:rFonts w:asciiTheme="minorHAnsi" w:hAnsiTheme="minorHAnsi"/>
        </w:rPr>
        <w:t>may</w:t>
      </w:r>
      <w:r>
        <w:rPr>
          <w:rFonts w:asciiTheme="minorHAnsi" w:hAnsiTheme="minorHAnsi"/>
        </w:rPr>
        <w:t xml:space="preserve"> estimate </w:t>
      </w:r>
      <w:r w:rsidR="00093295">
        <w:rPr>
          <w:rFonts w:asciiTheme="minorHAnsi" w:hAnsiTheme="minorHAnsi"/>
        </w:rPr>
        <w:t xml:space="preserve">instructional space needs based on projected capacity load ratios that are consistent with how overbuilt or underbuilt the </w:t>
      </w:r>
      <w:r w:rsidR="00FB6DA3">
        <w:rPr>
          <w:rFonts w:asciiTheme="minorHAnsi" w:hAnsiTheme="minorHAnsi"/>
        </w:rPr>
        <w:t>State</w:t>
      </w:r>
      <w:r w:rsidR="006D7A9D">
        <w:rPr>
          <w:rFonts w:asciiTheme="minorHAnsi" w:hAnsiTheme="minorHAnsi"/>
        </w:rPr>
        <w:t xml:space="preserve"> considers a c</w:t>
      </w:r>
      <w:r w:rsidR="00093295">
        <w:rPr>
          <w:rFonts w:asciiTheme="minorHAnsi" w:hAnsiTheme="minorHAnsi"/>
        </w:rPr>
        <w:t>ollege to be.  Capacity load ratios are a measurement of how much instructional space is required for the amount of WSCH</w:t>
      </w:r>
      <w:r w:rsidR="006D7A9D">
        <w:rPr>
          <w:rFonts w:asciiTheme="minorHAnsi" w:hAnsiTheme="minorHAnsi"/>
        </w:rPr>
        <w:t xml:space="preserve"> a c</w:t>
      </w:r>
      <w:r w:rsidR="00093295">
        <w:rPr>
          <w:rFonts w:asciiTheme="minorHAnsi" w:hAnsiTheme="minorHAnsi"/>
        </w:rPr>
        <w:t xml:space="preserve">ollege is anticipated to generate and are used to determine eligibility </w:t>
      </w:r>
      <w:r w:rsidR="006D7A9D">
        <w:rPr>
          <w:rFonts w:asciiTheme="minorHAnsi" w:hAnsiTheme="minorHAnsi"/>
        </w:rPr>
        <w:t xml:space="preserve">for </w:t>
      </w:r>
      <w:r w:rsidR="00FB6DA3">
        <w:rPr>
          <w:rFonts w:asciiTheme="minorHAnsi" w:hAnsiTheme="minorHAnsi"/>
        </w:rPr>
        <w:t>State</w:t>
      </w:r>
      <w:r w:rsidR="006D7A9D">
        <w:rPr>
          <w:rFonts w:asciiTheme="minorHAnsi" w:hAnsiTheme="minorHAnsi"/>
        </w:rPr>
        <w:t xml:space="preserve"> </w:t>
      </w:r>
      <w:r w:rsidR="00093295">
        <w:rPr>
          <w:rFonts w:asciiTheme="minorHAnsi" w:hAnsiTheme="minorHAnsi"/>
        </w:rPr>
        <w:t>funding.</w:t>
      </w:r>
      <w:r w:rsidR="00CC771E">
        <w:rPr>
          <w:rFonts w:asciiTheme="minorHAnsi" w:hAnsiTheme="minorHAnsi"/>
        </w:rPr>
        <w:t xml:space="preserve">  Therefore, recommended lecture and lab space needs presented in this Plan are consistent with</w:t>
      </w:r>
      <w:r w:rsidR="006D7A9D">
        <w:rPr>
          <w:rFonts w:asciiTheme="minorHAnsi" w:hAnsiTheme="minorHAnsi"/>
        </w:rPr>
        <w:t xml:space="preserve"> what the </w:t>
      </w:r>
      <w:r w:rsidR="00FB6DA3">
        <w:rPr>
          <w:rFonts w:asciiTheme="minorHAnsi" w:hAnsiTheme="minorHAnsi"/>
        </w:rPr>
        <w:t>State</w:t>
      </w:r>
      <w:r w:rsidR="006D7A9D">
        <w:rPr>
          <w:rFonts w:asciiTheme="minorHAnsi" w:hAnsiTheme="minorHAnsi"/>
        </w:rPr>
        <w:t xml:space="preserve"> would consider</w:t>
      </w:r>
      <w:r w:rsidR="00CC771E">
        <w:rPr>
          <w:rFonts w:asciiTheme="minorHAnsi" w:hAnsiTheme="minorHAnsi"/>
        </w:rPr>
        <w:t xml:space="preserve"> needed to adequately serve the projected WSCH load.  It is immaterial what year the College actually reaches the designated amount of projected WSCH.  The most important factor is that whenever the College actually reaches a projected level of WSCH generation, the correlated amount of lecture and lab space indicated within this </w:t>
      </w:r>
      <w:r w:rsidR="006D7A9D">
        <w:rPr>
          <w:rFonts w:asciiTheme="minorHAnsi" w:hAnsiTheme="minorHAnsi"/>
        </w:rPr>
        <w:t>P</w:t>
      </w:r>
      <w:r w:rsidR="00CC771E">
        <w:rPr>
          <w:rFonts w:asciiTheme="minorHAnsi" w:hAnsiTheme="minorHAnsi"/>
        </w:rPr>
        <w:t>lan will be minimally required.</w:t>
      </w:r>
    </w:p>
    <w:p w:rsidR="00CC771E" w:rsidRDefault="00CC771E" w:rsidP="00093295">
      <w:pPr>
        <w:spacing w:after="0" w:line="240" w:lineRule="auto"/>
        <w:jc w:val="both"/>
        <w:rPr>
          <w:rFonts w:asciiTheme="minorHAnsi" w:hAnsiTheme="minorHAnsi"/>
        </w:rPr>
      </w:pPr>
    </w:p>
    <w:p w:rsidR="00CC771E" w:rsidRPr="006D7A9D" w:rsidRDefault="006D7A9D" w:rsidP="006D7A9D">
      <w:pPr>
        <w:spacing w:after="0" w:line="240" w:lineRule="auto"/>
        <w:jc w:val="center"/>
        <w:rPr>
          <w:rFonts w:asciiTheme="minorHAnsi" w:hAnsiTheme="minorHAnsi"/>
          <w:b/>
          <w:color w:val="008000"/>
        </w:rPr>
      </w:pPr>
      <w:r w:rsidRPr="006D7A9D">
        <w:rPr>
          <w:rFonts w:asciiTheme="minorHAnsi" w:hAnsiTheme="minorHAnsi"/>
          <w:b/>
          <w:color w:val="008000"/>
        </w:rPr>
        <w:t xml:space="preserve">Exhibit X.XX Title V Recommendations for Instructional Space (Fall 2014 – </w:t>
      </w:r>
      <w:proofErr w:type="gramStart"/>
      <w:r w:rsidRPr="006D7A9D">
        <w:rPr>
          <w:rFonts w:asciiTheme="minorHAnsi" w:hAnsiTheme="minorHAnsi"/>
          <w:b/>
          <w:color w:val="008000"/>
        </w:rPr>
        <w:t>Fall</w:t>
      </w:r>
      <w:proofErr w:type="gramEnd"/>
      <w:r w:rsidRPr="006D7A9D">
        <w:rPr>
          <w:rFonts w:asciiTheme="minorHAnsi" w:hAnsiTheme="minorHAnsi"/>
          <w:b/>
          <w:color w:val="008000"/>
        </w:rPr>
        <w:t xml:space="preserve"> 2031)</w:t>
      </w:r>
    </w:p>
    <w:tbl>
      <w:tblPr>
        <w:tblW w:w="10677" w:type="dxa"/>
        <w:tblInd w:w="-522" w:type="dxa"/>
        <w:tblLook w:val="04A0" w:firstRow="1" w:lastRow="0" w:firstColumn="1" w:lastColumn="0" w:noHBand="0" w:noVBand="1"/>
      </w:tblPr>
      <w:tblGrid>
        <w:gridCol w:w="1064"/>
        <w:gridCol w:w="1300"/>
        <w:gridCol w:w="831"/>
        <w:gridCol w:w="831"/>
        <w:gridCol w:w="834"/>
        <w:gridCol w:w="831"/>
        <w:gridCol w:w="831"/>
        <w:gridCol w:w="831"/>
        <w:gridCol w:w="831"/>
        <w:gridCol w:w="831"/>
        <w:gridCol w:w="831"/>
        <w:gridCol w:w="831"/>
      </w:tblGrid>
      <w:tr w:rsidR="006D7A9D" w:rsidRPr="006D7A9D" w:rsidTr="00A1002A">
        <w:trPr>
          <w:trHeight w:val="315"/>
        </w:trPr>
        <w:tc>
          <w:tcPr>
            <w:tcW w:w="1064" w:type="dxa"/>
            <w:vMerge w:val="restart"/>
            <w:tcBorders>
              <w:top w:val="single" w:sz="18" w:space="0" w:color="auto"/>
              <w:left w:val="single" w:sz="18" w:space="0" w:color="auto"/>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Subject</w:t>
            </w:r>
          </w:p>
        </w:tc>
        <w:tc>
          <w:tcPr>
            <w:tcW w:w="1300" w:type="dxa"/>
            <w:vMerge w:val="restart"/>
            <w:tcBorders>
              <w:top w:val="single" w:sz="18" w:space="0" w:color="auto"/>
              <w:left w:val="single" w:sz="18" w:space="0" w:color="auto"/>
              <w:bottom w:val="single" w:sz="18" w:space="0" w:color="auto"/>
              <w:right w:val="single" w:sz="18" w:space="0" w:color="auto"/>
            </w:tcBorders>
            <w:shd w:val="clear" w:color="000000" w:fill="76933C"/>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proofErr w:type="spellStart"/>
            <w:r w:rsidRPr="006D7A9D">
              <w:rPr>
                <w:rFonts w:ascii="Calibri" w:eastAsia="Times New Roman" w:hAnsi="Calibri" w:cs="Times New Roman"/>
                <w:b/>
                <w:bCs/>
                <w:color w:val="FFFFFF"/>
              </w:rPr>
              <w:t>Lecture:Lab</w:t>
            </w:r>
            <w:proofErr w:type="spellEnd"/>
            <w:r w:rsidRPr="006D7A9D">
              <w:rPr>
                <w:rFonts w:ascii="Calibri" w:eastAsia="Times New Roman" w:hAnsi="Calibri" w:cs="Times New Roman"/>
                <w:b/>
                <w:bCs/>
                <w:color w:val="FFFFFF"/>
              </w:rPr>
              <w:t xml:space="preserve"> WSCH Ratio</w:t>
            </w:r>
          </w:p>
        </w:tc>
        <w:tc>
          <w:tcPr>
            <w:tcW w:w="8313" w:type="dxa"/>
            <w:gridSpan w:val="10"/>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TITLE V SPACE RECOMMENDATIONS: LECTURE &amp; LAB</w:t>
            </w:r>
          </w:p>
        </w:tc>
      </w:tr>
      <w:tr w:rsidR="006D7A9D" w:rsidRPr="006D7A9D" w:rsidTr="00A1002A">
        <w:trPr>
          <w:trHeight w:val="252"/>
        </w:trPr>
        <w:tc>
          <w:tcPr>
            <w:tcW w:w="1064" w:type="dxa"/>
            <w:vMerge/>
            <w:tcBorders>
              <w:top w:val="single" w:sz="18" w:space="0" w:color="auto"/>
              <w:left w:val="single" w:sz="18" w:space="0" w:color="auto"/>
              <w:bottom w:val="single" w:sz="18" w:space="0" w:color="auto"/>
              <w:right w:val="single" w:sz="18" w:space="0" w:color="auto"/>
            </w:tcBorders>
            <w:vAlign w:val="center"/>
            <w:hideMark/>
          </w:tcPr>
          <w:p w:rsidR="006D7A9D" w:rsidRPr="006D7A9D" w:rsidRDefault="006D7A9D" w:rsidP="006D7A9D">
            <w:pPr>
              <w:spacing w:after="0" w:line="240" w:lineRule="auto"/>
              <w:rPr>
                <w:rFonts w:ascii="Calibri" w:eastAsia="Times New Roman" w:hAnsi="Calibri" w:cs="Times New Roman"/>
                <w:b/>
                <w:bCs/>
                <w:color w:val="FFFFFF"/>
              </w:rPr>
            </w:pPr>
          </w:p>
        </w:tc>
        <w:tc>
          <w:tcPr>
            <w:tcW w:w="1300" w:type="dxa"/>
            <w:vMerge/>
            <w:tcBorders>
              <w:top w:val="single" w:sz="18" w:space="0" w:color="auto"/>
              <w:left w:val="single" w:sz="18" w:space="0" w:color="auto"/>
              <w:bottom w:val="single" w:sz="18" w:space="0" w:color="auto"/>
              <w:right w:val="single" w:sz="18" w:space="0" w:color="auto"/>
            </w:tcBorders>
            <w:vAlign w:val="center"/>
            <w:hideMark/>
          </w:tcPr>
          <w:p w:rsidR="006D7A9D" w:rsidRPr="006D7A9D" w:rsidRDefault="006D7A9D" w:rsidP="006D7A9D">
            <w:pPr>
              <w:spacing w:after="0" w:line="240" w:lineRule="auto"/>
              <w:rPr>
                <w:rFonts w:ascii="Calibri" w:eastAsia="Times New Roman" w:hAnsi="Calibri" w:cs="Times New Roman"/>
                <w:b/>
                <w:bCs/>
                <w:color w:val="FFFFFF"/>
              </w:rPr>
            </w:pPr>
          </w:p>
        </w:tc>
        <w:tc>
          <w:tcPr>
            <w:tcW w:w="1662" w:type="dxa"/>
            <w:gridSpan w:val="2"/>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2014</w:t>
            </w:r>
          </w:p>
        </w:tc>
        <w:tc>
          <w:tcPr>
            <w:tcW w:w="1665" w:type="dxa"/>
            <w:gridSpan w:val="2"/>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2016</w:t>
            </w:r>
          </w:p>
        </w:tc>
        <w:tc>
          <w:tcPr>
            <w:tcW w:w="1662" w:type="dxa"/>
            <w:gridSpan w:val="2"/>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2021</w:t>
            </w:r>
          </w:p>
        </w:tc>
        <w:tc>
          <w:tcPr>
            <w:tcW w:w="1662" w:type="dxa"/>
            <w:gridSpan w:val="2"/>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2026</w:t>
            </w:r>
          </w:p>
        </w:tc>
        <w:tc>
          <w:tcPr>
            <w:tcW w:w="1662" w:type="dxa"/>
            <w:gridSpan w:val="2"/>
            <w:tcBorders>
              <w:top w:val="single" w:sz="18" w:space="0" w:color="auto"/>
              <w:left w:val="single" w:sz="18" w:space="0" w:color="auto"/>
              <w:bottom w:val="single" w:sz="18" w:space="0" w:color="auto"/>
              <w:right w:val="single" w:sz="18" w:space="0" w:color="auto"/>
            </w:tcBorders>
            <w:shd w:val="clear" w:color="000000" w:fill="76933C"/>
            <w:noWrap/>
            <w:vAlign w:val="bottom"/>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2031</w:t>
            </w:r>
          </w:p>
        </w:tc>
      </w:tr>
      <w:tr w:rsidR="006D7A9D" w:rsidRPr="006D7A9D" w:rsidTr="00A1002A">
        <w:trPr>
          <w:trHeight w:val="315"/>
        </w:trPr>
        <w:tc>
          <w:tcPr>
            <w:tcW w:w="1064" w:type="dxa"/>
            <w:vMerge/>
            <w:tcBorders>
              <w:top w:val="single" w:sz="18" w:space="0" w:color="auto"/>
              <w:left w:val="single" w:sz="18" w:space="0" w:color="auto"/>
              <w:bottom w:val="single" w:sz="18" w:space="0" w:color="auto"/>
              <w:right w:val="single" w:sz="18" w:space="0" w:color="auto"/>
            </w:tcBorders>
            <w:vAlign w:val="center"/>
            <w:hideMark/>
          </w:tcPr>
          <w:p w:rsidR="006D7A9D" w:rsidRPr="006D7A9D" w:rsidRDefault="006D7A9D" w:rsidP="006D7A9D">
            <w:pPr>
              <w:spacing w:after="0" w:line="240" w:lineRule="auto"/>
              <w:rPr>
                <w:rFonts w:ascii="Calibri" w:eastAsia="Times New Roman" w:hAnsi="Calibri" w:cs="Times New Roman"/>
                <w:b/>
                <w:bCs/>
                <w:color w:val="FFFFFF"/>
              </w:rPr>
            </w:pPr>
          </w:p>
        </w:tc>
        <w:tc>
          <w:tcPr>
            <w:tcW w:w="1300" w:type="dxa"/>
            <w:vMerge/>
            <w:tcBorders>
              <w:top w:val="single" w:sz="18" w:space="0" w:color="auto"/>
              <w:left w:val="single" w:sz="18" w:space="0" w:color="auto"/>
              <w:bottom w:val="single" w:sz="18" w:space="0" w:color="auto"/>
              <w:right w:val="single" w:sz="18" w:space="0" w:color="auto"/>
            </w:tcBorders>
            <w:vAlign w:val="center"/>
            <w:hideMark/>
          </w:tcPr>
          <w:p w:rsidR="006D7A9D" w:rsidRPr="006D7A9D" w:rsidRDefault="006D7A9D" w:rsidP="006D7A9D">
            <w:pPr>
              <w:spacing w:after="0" w:line="240" w:lineRule="auto"/>
              <w:rPr>
                <w:rFonts w:ascii="Calibri" w:eastAsia="Times New Roman" w:hAnsi="Calibri" w:cs="Times New Roman"/>
                <w:b/>
                <w:bCs/>
                <w:color w:val="FFFFFF"/>
              </w:rPr>
            </w:pPr>
          </w:p>
        </w:tc>
        <w:tc>
          <w:tcPr>
            <w:tcW w:w="831" w:type="dxa"/>
            <w:tcBorders>
              <w:top w:val="single" w:sz="18" w:space="0" w:color="auto"/>
              <w:left w:val="single" w:sz="18" w:space="0" w:color="auto"/>
              <w:bottom w:val="single" w:sz="18" w:space="0" w:color="auto"/>
              <w:right w:val="single" w:sz="4"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Lect. ASF</w:t>
            </w:r>
          </w:p>
        </w:tc>
        <w:tc>
          <w:tcPr>
            <w:tcW w:w="831" w:type="dxa"/>
            <w:tcBorders>
              <w:top w:val="single" w:sz="18" w:space="0" w:color="auto"/>
              <w:left w:val="nil"/>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Lab ASF</w:t>
            </w:r>
          </w:p>
        </w:tc>
        <w:tc>
          <w:tcPr>
            <w:tcW w:w="834" w:type="dxa"/>
            <w:tcBorders>
              <w:top w:val="single" w:sz="18" w:space="0" w:color="auto"/>
              <w:left w:val="single" w:sz="18" w:space="0" w:color="auto"/>
              <w:bottom w:val="single" w:sz="18" w:space="0" w:color="auto"/>
              <w:right w:val="single" w:sz="4"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Lect. ASF</w:t>
            </w:r>
          </w:p>
        </w:tc>
        <w:tc>
          <w:tcPr>
            <w:tcW w:w="831" w:type="dxa"/>
            <w:tcBorders>
              <w:top w:val="single" w:sz="18" w:space="0" w:color="auto"/>
              <w:left w:val="nil"/>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Lab ASF</w:t>
            </w:r>
          </w:p>
        </w:tc>
        <w:tc>
          <w:tcPr>
            <w:tcW w:w="831" w:type="dxa"/>
            <w:tcBorders>
              <w:top w:val="single" w:sz="18" w:space="0" w:color="auto"/>
              <w:left w:val="single" w:sz="18" w:space="0" w:color="auto"/>
              <w:bottom w:val="single" w:sz="18" w:space="0" w:color="auto"/>
              <w:right w:val="single" w:sz="4"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Lect. ASF</w:t>
            </w:r>
          </w:p>
        </w:tc>
        <w:tc>
          <w:tcPr>
            <w:tcW w:w="831" w:type="dxa"/>
            <w:tcBorders>
              <w:top w:val="single" w:sz="18" w:space="0" w:color="auto"/>
              <w:left w:val="nil"/>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Lab ASF</w:t>
            </w:r>
          </w:p>
        </w:tc>
        <w:tc>
          <w:tcPr>
            <w:tcW w:w="831" w:type="dxa"/>
            <w:tcBorders>
              <w:top w:val="single" w:sz="18" w:space="0" w:color="auto"/>
              <w:left w:val="single" w:sz="18" w:space="0" w:color="auto"/>
              <w:bottom w:val="single" w:sz="18" w:space="0" w:color="auto"/>
              <w:right w:val="single" w:sz="4"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Lect. ASF</w:t>
            </w:r>
          </w:p>
        </w:tc>
        <w:tc>
          <w:tcPr>
            <w:tcW w:w="831" w:type="dxa"/>
            <w:tcBorders>
              <w:top w:val="single" w:sz="18" w:space="0" w:color="auto"/>
              <w:left w:val="nil"/>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Lab ASF</w:t>
            </w:r>
          </w:p>
        </w:tc>
        <w:tc>
          <w:tcPr>
            <w:tcW w:w="831" w:type="dxa"/>
            <w:tcBorders>
              <w:top w:val="single" w:sz="18" w:space="0" w:color="auto"/>
              <w:left w:val="single" w:sz="18" w:space="0" w:color="auto"/>
              <w:bottom w:val="single" w:sz="18" w:space="0" w:color="auto"/>
              <w:right w:val="single" w:sz="4"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Lect. ASF</w:t>
            </w:r>
          </w:p>
        </w:tc>
        <w:tc>
          <w:tcPr>
            <w:tcW w:w="831" w:type="dxa"/>
            <w:tcBorders>
              <w:top w:val="single" w:sz="18" w:space="0" w:color="auto"/>
              <w:left w:val="nil"/>
              <w:bottom w:val="single" w:sz="18" w:space="0" w:color="auto"/>
              <w:right w:val="single" w:sz="18" w:space="0" w:color="auto"/>
            </w:tcBorders>
            <w:shd w:val="clear" w:color="000000" w:fill="76933C"/>
            <w:noWrap/>
            <w:vAlign w:val="center"/>
            <w:hideMark/>
          </w:tcPr>
          <w:p w:rsidR="006D7A9D" w:rsidRPr="006D7A9D" w:rsidRDefault="006D7A9D" w:rsidP="006D7A9D">
            <w:pPr>
              <w:spacing w:after="0" w:line="240" w:lineRule="auto"/>
              <w:jc w:val="center"/>
              <w:rPr>
                <w:rFonts w:ascii="Calibri" w:eastAsia="Times New Roman" w:hAnsi="Calibri" w:cs="Times New Roman"/>
                <w:b/>
                <w:bCs/>
                <w:color w:val="FFFFFF"/>
              </w:rPr>
            </w:pPr>
            <w:r w:rsidRPr="006D7A9D">
              <w:rPr>
                <w:rFonts w:ascii="Calibri" w:eastAsia="Times New Roman" w:hAnsi="Calibri" w:cs="Times New Roman"/>
                <w:b/>
                <w:bCs/>
                <w:color w:val="FFFFFF"/>
              </w:rPr>
              <w:t>Lab ASF</w:t>
            </w:r>
          </w:p>
        </w:tc>
      </w:tr>
      <w:tr w:rsidR="006D7A9D" w:rsidRPr="006D7A9D" w:rsidTr="00A1002A">
        <w:trPr>
          <w:trHeight w:val="300"/>
        </w:trPr>
        <w:tc>
          <w:tcPr>
            <w:tcW w:w="1064" w:type="dxa"/>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ACCT</w:t>
            </w:r>
          </w:p>
        </w:tc>
        <w:tc>
          <w:tcPr>
            <w:tcW w:w="1300" w:type="dxa"/>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271</w:t>
            </w:r>
          </w:p>
        </w:tc>
        <w:tc>
          <w:tcPr>
            <w:tcW w:w="831" w:type="dxa"/>
            <w:tcBorders>
              <w:top w:val="single" w:sz="18" w:space="0" w:color="auto"/>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268</w:t>
            </w:r>
          </w:p>
        </w:tc>
        <w:tc>
          <w:tcPr>
            <w:tcW w:w="831" w:type="dxa"/>
            <w:tcBorders>
              <w:top w:val="single" w:sz="18" w:space="0" w:color="auto"/>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291</w:t>
            </w:r>
          </w:p>
        </w:tc>
        <w:tc>
          <w:tcPr>
            <w:tcW w:w="831" w:type="dxa"/>
            <w:tcBorders>
              <w:top w:val="single" w:sz="18" w:space="0" w:color="auto"/>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313</w:t>
            </w:r>
          </w:p>
        </w:tc>
        <w:tc>
          <w:tcPr>
            <w:tcW w:w="831" w:type="dxa"/>
            <w:tcBorders>
              <w:top w:val="single" w:sz="18" w:space="0" w:color="auto"/>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335</w:t>
            </w:r>
          </w:p>
        </w:tc>
        <w:tc>
          <w:tcPr>
            <w:tcW w:w="831" w:type="dxa"/>
            <w:tcBorders>
              <w:top w:val="single" w:sz="18" w:space="0" w:color="auto"/>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AH</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ANAT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604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4,500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598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4,457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4,847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698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5,199</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748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5,573</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ANTHRO</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227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ARABIC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ART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30:70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2,365</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2,342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201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2,547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2,732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2,929</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ASL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525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562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ASTRON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80:20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154</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122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131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191</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BIOL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3,070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3,041</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3,306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476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3,547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3,802</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BUSAD</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CD</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484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CHC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292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313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335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CHEM</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4,648</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565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4,604</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614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5,006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5,370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706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5,756</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CIS</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80:20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518</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567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617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558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662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598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709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641</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COMMST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825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954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1,022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CSCI</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328</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325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379</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lastRenderedPageBreak/>
              <w:t>DANCE</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10:90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384</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381</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414</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444</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476</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ECON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340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364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391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EDU</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EMS</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30:70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4,679</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439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4,635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477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5,040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5,406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549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5,795</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PBSF</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color w:val="auto"/>
              </w:rPr>
            </w:pPr>
            <w:r w:rsidRPr="006D7A9D">
              <w:rPr>
                <w:rFonts w:ascii="Calibri" w:eastAsia="Times New Roman" w:hAnsi="Calibri" w:cs="Times New Roman"/>
                <w:color w:val="auto"/>
              </w:rPr>
              <w:t>ENGL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4,169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4,534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4,863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5,213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FIRET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708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770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826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GEOG</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80:20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155</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154</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123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132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179</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192</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GEOL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80:20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209</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207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225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241</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259</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HEALTH</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769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762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829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953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HIST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1,025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1,104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1,184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1,270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HUM</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JAPN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299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JOUR</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KIN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55:45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429</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462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496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532</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KIN/D</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0:100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218</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252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KIN/F</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0:100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5,765</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5,710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6,209</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6,661</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7,140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KIN/S</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0:100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819</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947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1,015</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LRC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10:90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1,568</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1,553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1,689</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1,812</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1,942</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MATH</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90:10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4,242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1,495</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4,201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1,480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4,568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1,610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4,900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1,727</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5,253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1,851</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MICRO</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1,474</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1,588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229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1,703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1,826</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MUSIC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2,143</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2,123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283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2,308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2,476</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326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2,654</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OCEAN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PHIL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356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387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PHYSIC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397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394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428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492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POLIT</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505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549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589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631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PSYCH</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891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883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1,030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1,104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RADIOL</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30:70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1,479</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139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1,465</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1,593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1,708</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1,831</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READ</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711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763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RELIG</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RESP</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2,807</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2,780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445</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3,023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478</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3,243</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512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3,477</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SOC</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811</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803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873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937</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1,004</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00"/>
        </w:trPr>
        <w:tc>
          <w:tcPr>
            <w:tcW w:w="1064"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SPAN</w:t>
            </w:r>
          </w:p>
        </w:tc>
        <w:tc>
          <w:tcPr>
            <w:tcW w:w="1300" w:type="dxa"/>
            <w:tcBorders>
              <w:top w:val="nil"/>
              <w:left w:val="single" w:sz="18" w:space="0" w:color="auto"/>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100:0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659</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4"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653</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710</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762</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c>
          <w:tcPr>
            <w:tcW w:w="831" w:type="dxa"/>
            <w:tcBorders>
              <w:top w:val="nil"/>
              <w:left w:val="single" w:sz="18" w:space="0" w:color="auto"/>
              <w:bottom w:val="single" w:sz="4"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816</w:t>
            </w:r>
          </w:p>
        </w:tc>
        <w:tc>
          <w:tcPr>
            <w:tcW w:w="831" w:type="dxa"/>
            <w:tcBorders>
              <w:top w:val="nil"/>
              <w:left w:val="nil"/>
              <w:bottom w:val="single" w:sz="4"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0</w:t>
            </w:r>
          </w:p>
        </w:tc>
      </w:tr>
      <w:tr w:rsidR="006D7A9D" w:rsidRPr="006D7A9D" w:rsidTr="006D7A9D">
        <w:trPr>
          <w:trHeight w:val="315"/>
        </w:trPr>
        <w:tc>
          <w:tcPr>
            <w:tcW w:w="1064" w:type="dxa"/>
            <w:tcBorders>
              <w:top w:val="nil"/>
              <w:left w:val="single" w:sz="18" w:space="0" w:color="auto"/>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rPr>
                <w:rFonts w:ascii="Calibri" w:eastAsia="Times New Roman" w:hAnsi="Calibri" w:cs="Times New Roman"/>
              </w:rPr>
            </w:pPr>
            <w:r w:rsidRPr="006D7A9D">
              <w:rPr>
                <w:rFonts w:ascii="Calibri" w:eastAsia="Times New Roman" w:hAnsi="Calibri" w:cs="Times New Roman"/>
              </w:rPr>
              <w:t>THART</w:t>
            </w:r>
          </w:p>
        </w:tc>
        <w:tc>
          <w:tcPr>
            <w:tcW w:w="1300" w:type="dxa"/>
            <w:tcBorders>
              <w:top w:val="nil"/>
              <w:left w:val="single" w:sz="18" w:space="0" w:color="auto"/>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40:60</w:t>
            </w:r>
          </w:p>
        </w:tc>
        <w:tc>
          <w:tcPr>
            <w:tcW w:w="831" w:type="dxa"/>
            <w:tcBorders>
              <w:top w:val="nil"/>
              <w:left w:val="single" w:sz="18" w:space="0" w:color="auto"/>
              <w:bottom w:val="single" w:sz="18"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190</w:t>
            </w:r>
          </w:p>
        </w:tc>
        <w:tc>
          <w:tcPr>
            <w:tcW w:w="831" w:type="dxa"/>
            <w:tcBorders>
              <w:top w:val="nil"/>
              <w:left w:val="nil"/>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1,544</w:t>
            </w:r>
          </w:p>
        </w:tc>
        <w:tc>
          <w:tcPr>
            <w:tcW w:w="834" w:type="dxa"/>
            <w:tcBorders>
              <w:top w:val="nil"/>
              <w:left w:val="single" w:sz="18" w:space="0" w:color="auto"/>
              <w:bottom w:val="single" w:sz="18"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188</w:t>
            </w:r>
          </w:p>
        </w:tc>
        <w:tc>
          <w:tcPr>
            <w:tcW w:w="831" w:type="dxa"/>
            <w:tcBorders>
              <w:top w:val="nil"/>
              <w:left w:val="nil"/>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1,530</w:t>
            </w:r>
          </w:p>
        </w:tc>
        <w:tc>
          <w:tcPr>
            <w:tcW w:w="831" w:type="dxa"/>
            <w:tcBorders>
              <w:top w:val="nil"/>
              <w:left w:val="single" w:sz="18" w:space="0" w:color="auto"/>
              <w:bottom w:val="single" w:sz="18"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204</w:t>
            </w:r>
          </w:p>
        </w:tc>
        <w:tc>
          <w:tcPr>
            <w:tcW w:w="831" w:type="dxa"/>
            <w:tcBorders>
              <w:top w:val="nil"/>
              <w:left w:val="nil"/>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1,663</w:t>
            </w:r>
          </w:p>
        </w:tc>
        <w:tc>
          <w:tcPr>
            <w:tcW w:w="831" w:type="dxa"/>
            <w:tcBorders>
              <w:top w:val="nil"/>
              <w:left w:val="single" w:sz="18" w:space="0" w:color="auto"/>
              <w:bottom w:val="single" w:sz="18"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219</w:t>
            </w:r>
          </w:p>
        </w:tc>
        <w:tc>
          <w:tcPr>
            <w:tcW w:w="831" w:type="dxa"/>
            <w:tcBorders>
              <w:top w:val="nil"/>
              <w:left w:val="nil"/>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1,784</w:t>
            </w:r>
          </w:p>
        </w:tc>
        <w:tc>
          <w:tcPr>
            <w:tcW w:w="831" w:type="dxa"/>
            <w:tcBorders>
              <w:top w:val="nil"/>
              <w:left w:val="single" w:sz="18" w:space="0" w:color="auto"/>
              <w:bottom w:val="single" w:sz="18" w:space="0" w:color="auto"/>
              <w:right w:val="single" w:sz="4"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235</w:t>
            </w:r>
          </w:p>
        </w:tc>
        <w:tc>
          <w:tcPr>
            <w:tcW w:w="831" w:type="dxa"/>
            <w:tcBorders>
              <w:top w:val="nil"/>
              <w:left w:val="nil"/>
              <w:bottom w:val="single" w:sz="18" w:space="0" w:color="auto"/>
              <w:right w:val="single" w:sz="18" w:space="0" w:color="auto"/>
            </w:tcBorders>
            <w:shd w:val="clear" w:color="auto" w:fill="auto"/>
            <w:noWrap/>
            <w:vAlign w:val="bottom"/>
            <w:hideMark/>
          </w:tcPr>
          <w:p w:rsidR="006D7A9D" w:rsidRPr="006D7A9D" w:rsidRDefault="006D7A9D" w:rsidP="006D7A9D">
            <w:pPr>
              <w:spacing w:after="0" w:line="240" w:lineRule="auto"/>
              <w:jc w:val="center"/>
              <w:rPr>
                <w:rFonts w:ascii="Calibri" w:eastAsia="Times New Roman" w:hAnsi="Calibri" w:cs="Times New Roman"/>
              </w:rPr>
            </w:pPr>
            <w:r w:rsidRPr="006D7A9D">
              <w:rPr>
                <w:rFonts w:ascii="Calibri" w:eastAsia="Times New Roman" w:hAnsi="Calibri" w:cs="Times New Roman"/>
              </w:rPr>
              <w:t>1,913</w:t>
            </w:r>
          </w:p>
        </w:tc>
      </w:tr>
      <w:tr w:rsidR="006D7A9D" w:rsidRPr="006D7A9D" w:rsidTr="006D7A9D">
        <w:trPr>
          <w:trHeight w:val="315"/>
        </w:trPr>
        <w:tc>
          <w:tcPr>
            <w:tcW w:w="2364" w:type="dxa"/>
            <w:gridSpan w:val="2"/>
            <w:tcBorders>
              <w:top w:val="single" w:sz="18" w:space="0" w:color="auto"/>
              <w:left w:val="single" w:sz="18" w:space="0" w:color="auto"/>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TOTAL ASF NEED</w:t>
            </w:r>
          </w:p>
        </w:tc>
        <w:tc>
          <w:tcPr>
            <w:tcW w:w="831" w:type="dxa"/>
            <w:tcBorders>
              <w:top w:val="single" w:sz="18" w:space="0" w:color="auto"/>
              <w:left w:val="single" w:sz="18" w:space="0" w:color="auto"/>
              <w:bottom w:val="single" w:sz="18" w:space="0" w:color="auto"/>
              <w:right w:val="single" w:sz="4"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23,843</w:t>
            </w:r>
          </w:p>
        </w:tc>
        <w:tc>
          <w:tcPr>
            <w:tcW w:w="831" w:type="dxa"/>
            <w:tcBorders>
              <w:top w:val="single" w:sz="18" w:space="0" w:color="auto"/>
              <w:left w:val="nil"/>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40,753</w:t>
            </w:r>
          </w:p>
        </w:tc>
        <w:tc>
          <w:tcPr>
            <w:tcW w:w="834" w:type="dxa"/>
            <w:tcBorders>
              <w:top w:val="single" w:sz="18" w:space="0" w:color="auto"/>
              <w:left w:val="single" w:sz="18" w:space="0" w:color="auto"/>
              <w:bottom w:val="single" w:sz="18" w:space="0" w:color="auto"/>
              <w:right w:val="single" w:sz="4"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23,616</w:t>
            </w:r>
          </w:p>
        </w:tc>
        <w:tc>
          <w:tcPr>
            <w:tcW w:w="831" w:type="dxa"/>
            <w:tcBorders>
              <w:top w:val="single" w:sz="18" w:space="0" w:color="auto"/>
              <w:left w:val="nil"/>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40,365</w:t>
            </w:r>
          </w:p>
        </w:tc>
        <w:tc>
          <w:tcPr>
            <w:tcW w:w="831" w:type="dxa"/>
            <w:tcBorders>
              <w:top w:val="single" w:sz="18" w:space="0" w:color="auto"/>
              <w:left w:val="single" w:sz="18" w:space="0" w:color="auto"/>
              <w:bottom w:val="single" w:sz="18" w:space="0" w:color="auto"/>
              <w:right w:val="single" w:sz="4"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25,680</w:t>
            </w:r>
          </w:p>
        </w:tc>
        <w:tc>
          <w:tcPr>
            <w:tcW w:w="831" w:type="dxa"/>
            <w:tcBorders>
              <w:top w:val="single" w:sz="18" w:space="0" w:color="auto"/>
              <w:left w:val="nil"/>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43,891</w:t>
            </w:r>
          </w:p>
        </w:tc>
        <w:tc>
          <w:tcPr>
            <w:tcW w:w="831" w:type="dxa"/>
            <w:tcBorders>
              <w:top w:val="single" w:sz="18" w:space="0" w:color="auto"/>
              <w:left w:val="single" w:sz="18" w:space="0" w:color="auto"/>
              <w:bottom w:val="single" w:sz="18" w:space="0" w:color="auto"/>
              <w:right w:val="single" w:sz="4"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27,547</w:t>
            </w:r>
          </w:p>
        </w:tc>
        <w:tc>
          <w:tcPr>
            <w:tcW w:w="831" w:type="dxa"/>
            <w:tcBorders>
              <w:top w:val="single" w:sz="18" w:space="0" w:color="auto"/>
              <w:left w:val="nil"/>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47,082</w:t>
            </w:r>
          </w:p>
        </w:tc>
        <w:tc>
          <w:tcPr>
            <w:tcW w:w="831" w:type="dxa"/>
            <w:tcBorders>
              <w:top w:val="single" w:sz="18" w:space="0" w:color="auto"/>
              <w:left w:val="single" w:sz="18" w:space="0" w:color="auto"/>
              <w:bottom w:val="single" w:sz="18" w:space="0" w:color="auto"/>
              <w:right w:val="single" w:sz="4"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29,530</w:t>
            </w:r>
          </w:p>
        </w:tc>
        <w:tc>
          <w:tcPr>
            <w:tcW w:w="831" w:type="dxa"/>
            <w:tcBorders>
              <w:top w:val="single" w:sz="18" w:space="0" w:color="auto"/>
              <w:left w:val="nil"/>
              <w:bottom w:val="single" w:sz="18" w:space="0" w:color="auto"/>
              <w:right w:val="single" w:sz="18" w:space="0" w:color="auto"/>
            </w:tcBorders>
            <w:shd w:val="clear" w:color="000000" w:fill="D9D9D9"/>
            <w:noWrap/>
            <w:vAlign w:val="bottom"/>
            <w:hideMark/>
          </w:tcPr>
          <w:p w:rsidR="006D7A9D" w:rsidRPr="006D7A9D" w:rsidRDefault="006D7A9D" w:rsidP="006D7A9D">
            <w:pPr>
              <w:spacing w:after="0" w:line="240" w:lineRule="auto"/>
              <w:jc w:val="center"/>
              <w:rPr>
                <w:rFonts w:ascii="Calibri" w:eastAsia="Times New Roman" w:hAnsi="Calibri" w:cs="Times New Roman"/>
                <w:b/>
                <w:bCs/>
              </w:rPr>
            </w:pPr>
            <w:r w:rsidRPr="006D7A9D">
              <w:rPr>
                <w:rFonts w:ascii="Calibri" w:eastAsia="Times New Roman" w:hAnsi="Calibri" w:cs="Times New Roman"/>
                <w:b/>
                <w:bCs/>
              </w:rPr>
              <w:t>50,472</w:t>
            </w:r>
          </w:p>
        </w:tc>
      </w:tr>
    </w:tbl>
    <w:p w:rsidR="006D7A9D" w:rsidRDefault="006D7A9D" w:rsidP="00093295">
      <w:pPr>
        <w:spacing w:after="0" w:line="240" w:lineRule="auto"/>
        <w:jc w:val="both"/>
        <w:rPr>
          <w:rFonts w:asciiTheme="minorHAnsi" w:hAnsiTheme="minorHAnsi"/>
        </w:rPr>
      </w:pPr>
    </w:p>
    <w:p w:rsidR="00093295" w:rsidRPr="00FB7CA6" w:rsidRDefault="00FB7CA6" w:rsidP="00093295">
      <w:pPr>
        <w:spacing w:after="0" w:line="240" w:lineRule="auto"/>
        <w:jc w:val="both"/>
        <w:rPr>
          <w:rFonts w:asciiTheme="minorHAnsi" w:hAnsiTheme="minorHAnsi"/>
          <w:b/>
          <w:color w:val="008000"/>
        </w:rPr>
      </w:pPr>
      <w:r w:rsidRPr="00FB7CA6">
        <w:rPr>
          <w:rFonts w:asciiTheme="minorHAnsi" w:hAnsiTheme="minorHAnsi"/>
          <w:b/>
          <w:color w:val="008000"/>
        </w:rPr>
        <w:t>Overall Current and Future Space Needs</w:t>
      </w:r>
    </w:p>
    <w:p w:rsidR="00940B12" w:rsidRDefault="00940B12" w:rsidP="00093295">
      <w:pPr>
        <w:spacing w:after="0" w:line="240" w:lineRule="auto"/>
        <w:jc w:val="both"/>
        <w:rPr>
          <w:rFonts w:asciiTheme="minorHAnsi" w:hAnsiTheme="minorHAnsi"/>
        </w:rPr>
      </w:pPr>
      <w:r>
        <w:rPr>
          <w:rFonts w:asciiTheme="minorHAnsi" w:hAnsiTheme="minorHAnsi"/>
        </w:rPr>
        <w:t xml:space="preserve">Projected space needs for all facility needs (instructional and other support spaces) may also be determined based on enrollment and WSCH projections, Title V space standards and a college’s current/projected space inventory.  </w:t>
      </w:r>
    </w:p>
    <w:p w:rsidR="001040AB" w:rsidRDefault="001040AB" w:rsidP="00093295">
      <w:pPr>
        <w:spacing w:after="0" w:line="240" w:lineRule="auto"/>
        <w:jc w:val="both"/>
        <w:rPr>
          <w:rFonts w:asciiTheme="minorHAnsi" w:hAnsiTheme="minorHAnsi"/>
        </w:rPr>
      </w:pPr>
    </w:p>
    <w:p w:rsidR="001040AB" w:rsidRDefault="001040AB" w:rsidP="00093295">
      <w:pPr>
        <w:spacing w:after="0" w:line="240" w:lineRule="auto"/>
        <w:jc w:val="both"/>
        <w:rPr>
          <w:rFonts w:asciiTheme="minorHAnsi" w:hAnsiTheme="minorHAnsi"/>
        </w:rPr>
      </w:pPr>
      <w:r>
        <w:rPr>
          <w:rFonts w:asciiTheme="minorHAnsi" w:hAnsiTheme="minorHAnsi"/>
        </w:rPr>
        <w:lastRenderedPageBreak/>
        <w:t xml:space="preserve">The </w:t>
      </w:r>
      <w:r w:rsidR="00FB6DA3">
        <w:rPr>
          <w:rFonts w:asciiTheme="minorHAnsi" w:hAnsiTheme="minorHAnsi"/>
        </w:rPr>
        <w:t>State</w:t>
      </w:r>
      <w:r>
        <w:rPr>
          <w:rFonts w:asciiTheme="minorHAnsi" w:hAnsiTheme="minorHAnsi"/>
        </w:rPr>
        <w:t xml:space="preserve"> Chancellor’s Office</w:t>
      </w:r>
      <w:r w:rsidR="00253DE5">
        <w:rPr>
          <w:rFonts w:asciiTheme="minorHAnsi" w:hAnsiTheme="minorHAnsi"/>
        </w:rPr>
        <w:t xml:space="preserve"> monitors five space categories by capacity load ratio for funding consideration and support.  These five categories are: classroom (lecture), laboratory, office, library and audio visual/television/radio (AV/TV).  An analysis of CHC’s capacity load ratios determines that the College currently requires space in </w:t>
      </w:r>
      <w:r w:rsidR="00AE6AE9">
        <w:rPr>
          <w:rFonts w:asciiTheme="minorHAnsi" w:hAnsiTheme="minorHAnsi"/>
        </w:rPr>
        <w:t>only one</w:t>
      </w:r>
      <w:r w:rsidR="00253DE5">
        <w:rPr>
          <w:rFonts w:asciiTheme="minorHAnsi" w:hAnsiTheme="minorHAnsi"/>
        </w:rPr>
        <w:t xml:space="preserve"> of the five capacity load categories: AV/TV.  </w:t>
      </w:r>
    </w:p>
    <w:p w:rsidR="00253DE5" w:rsidRDefault="00253DE5" w:rsidP="00093295">
      <w:pPr>
        <w:spacing w:after="0" w:line="240" w:lineRule="auto"/>
        <w:jc w:val="both"/>
        <w:rPr>
          <w:rFonts w:asciiTheme="minorHAnsi" w:hAnsiTheme="minorHAnsi"/>
        </w:rPr>
      </w:pPr>
    </w:p>
    <w:p w:rsidR="008871BB" w:rsidRDefault="00AE6AE9" w:rsidP="008871BB">
      <w:pPr>
        <w:spacing w:after="0" w:line="240" w:lineRule="auto"/>
        <w:jc w:val="both"/>
        <w:rPr>
          <w:rFonts w:asciiTheme="minorHAnsi" w:hAnsiTheme="minorHAnsi"/>
        </w:rPr>
      </w:pPr>
      <w:r>
        <w:rPr>
          <w:rFonts w:asciiTheme="minorHAnsi" w:hAnsiTheme="minorHAnsi"/>
        </w:rPr>
        <w:t>When accounting</w:t>
      </w:r>
      <w:r w:rsidR="00253DE5">
        <w:rPr>
          <w:rFonts w:asciiTheme="minorHAnsi" w:hAnsiTheme="minorHAnsi"/>
        </w:rPr>
        <w:t xml:space="preserve"> for future construction projects on campus</w:t>
      </w:r>
      <w:r>
        <w:rPr>
          <w:rFonts w:asciiTheme="minorHAnsi" w:hAnsiTheme="minorHAnsi"/>
        </w:rPr>
        <w:t>, such as the Central Complex 1 renovation, Crafton Hall renovation, Clock Tower Building renovation</w:t>
      </w:r>
      <w:r w:rsidR="00253DE5">
        <w:rPr>
          <w:rFonts w:asciiTheme="minorHAnsi" w:hAnsiTheme="minorHAnsi"/>
        </w:rPr>
        <w:t xml:space="preserve"> and removal of various temporary portables, the College is</w:t>
      </w:r>
      <w:r>
        <w:rPr>
          <w:rFonts w:asciiTheme="minorHAnsi" w:hAnsiTheme="minorHAnsi"/>
        </w:rPr>
        <w:t xml:space="preserve"> anticipated to have a need for 2,547 ASF in laboratory space by the year 2021.  The need for laboratory space is anticipated in grow to 10,345 ASF by the year 2031.  However, the College is significantly overbuilt in classroom, library and office space for the amount of lecture WSCH it is projected to generate and projected FTEF.  </w:t>
      </w:r>
      <w:r w:rsidR="00A1002A">
        <w:rPr>
          <w:rFonts w:asciiTheme="minorHAnsi" w:hAnsiTheme="minorHAnsi"/>
        </w:rPr>
        <w:t xml:space="preserve">It is important to understand that even though a college may perceive that they are efficiently utilizing existing classrooms and there is a need for additional classroom space, </w:t>
      </w:r>
      <w:r w:rsidR="00FB6DA3">
        <w:rPr>
          <w:rFonts w:asciiTheme="minorHAnsi" w:hAnsiTheme="minorHAnsi"/>
        </w:rPr>
        <w:t>State</w:t>
      </w:r>
      <w:r w:rsidR="00A1002A">
        <w:rPr>
          <w:rFonts w:asciiTheme="minorHAnsi" w:hAnsiTheme="minorHAnsi"/>
        </w:rPr>
        <w:t xml:space="preserve"> standards for space needs are based on the amount of lecture WSCH a campus should be generating based on the amount of classroom ASF.  Thus, although classrooms may be efficiently utilized by hours during a semester, they are not efficiently generating the amount of WSCH that they should be.</w:t>
      </w:r>
      <w:r w:rsidR="008871BB">
        <w:rPr>
          <w:rFonts w:asciiTheme="minorHAnsi" w:hAnsiTheme="minorHAnsi"/>
        </w:rPr>
        <w:t xml:space="preserve">  Overall, the College should work towards reducing its classroom capacity load ratio by converting existing classroom space to laboratories and/or generating more </w:t>
      </w:r>
      <w:proofErr w:type="gramStart"/>
      <w:r w:rsidR="008871BB">
        <w:rPr>
          <w:rFonts w:asciiTheme="minorHAnsi" w:hAnsiTheme="minorHAnsi"/>
        </w:rPr>
        <w:t>lecture</w:t>
      </w:r>
      <w:proofErr w:type="gramEnd"/>
      <w:r w:rsidR="008871BB">
        <w:rPr>
          <w:rFonts w:asciiTheme="minorHAnsi" w:hAnsiTheme="minorHAnsi"/>
        </w:rPr>
        <w:t xml:space="preserve"> WSCH.  </w:t>
      </w:r>
    </w:p>
    <w:p w:rsidR="00A1002A" w:rsidRDefault="00A1002A" w:rsidP="00093295">
      <w:pPr>
        <w:spacing w:after="0" w:line="240" w:lineRule="auto"/>
        <w:jc w:val="both"/>
        <w:rPr>
          <w:rFonts w:asciiTheme="minorHAnsi" w:hAnsiTheme="minorHAnsi"/>
        </w:rPr>
      </w:pPr>
    </w:p>
    <w:p w:rsidR="00A1002A" w:rsidRPr="00A1002A" w:rsidRDefault="00A1002A" w:rsidP="00A1002A">
      <w:pPr>
        <w:spacing w:after="0" w:line="240" w:lineRule="auto"/>
        <w:jc w:val="center"/>
        <w:rPr>
          <w:rFonts w:asciiTheme="minorHAnsi" w:hAnsiTheme="minorHAnsi"/>
          <w:b/>
          <w:color w:val="008000"/>
        </w:rPr>
      </w:pPr>
      <w:r w:rsidRPr="00A1002A">
        <w:rPr>
          <w:rFonts w:asciiTheme="minorHAnsi" w:hAnsiTheme="minorHAnsi"/>
          <w:b/>
          <w:color w:val="008000"/>
        </w:rPr>
        <w:t>Exhibit X.XX Capacity Load Ratios and Space Needs/Surplus</w:t>
      </w:r>
    </w:p>
    <w:tbl>
      <w:tblPr>
        <w:tblW w:w="9200" w:type="dxa"/>
        <w:tblInd w:w="93" w:type="dxa"/>
        <w:tblLook w:val="04A0" w:firstRow="1" w:lastRow="0" w:firstColumn="1" w:lastColumn="0" w:noHBand="0" w:noVBand="1"/>
      </w:tblPr>
      <w:tblGrid>
        <w:gridCol w:w="2540"/>
        <w:gridCol w:w="940"/>
        <w:gridCol w:w="940"/>
        <w:gridCol w:w="940"/>
        <w:gridCol w:w="1020"/>
        <w:gridCol w:w="940"/>
        <w:gridCol w:w="940"/>
        <w:gridCol w:w="940"/>
      </w:tblGrid>
      <w:tr w:rsidR="00A1002A" w:rsidRPr="00A1002A" w:rsidTr="00A1002A">
        <w:trPr>
          <w:trHeight w:val="188"/>
        </w:trPr>
        <w:tc>
          <w:tcPr>
            <w:tcW w:w="254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CHC Capacity Load</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F2015</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F2016</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F2017</w:t>
            </w:r>
          </w:p>
        </w:tc>
        <w:tc>
          <w:tcPr>
            <w:tcW w:w="102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F2017 ADJ</w:t>
            </w:r>
            <w:r>
              <w:rPr>
                <w:rFonts w:ascii="Calibri" w:eastAsia="Times New Roman" w:hAnsi="Calibri" w:cs="Times New Roman"/>
                <w:b/>
                <w:color w:val="FFFFFF" w:themeColor="background1"/>
              </w:rPr>
              <w:t>*</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F2021</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F2026</w:t>
            </w:r>
          </w:p>
        </w:tc>
        <w:tc>
          <w:tcPr>
            <w:tcW w:w="940"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A1002A" w:rsidRPr="00A1002A" w:rsidRDefault="00A1002A" w:rsidP="00A1002A">
            <w:pPr>
              <w:spacing w:after="0" w:line="240" w:lineRule="auto"/>
              <w:jc w:val="center"/>
              <w:rPr>
                <w:rFonts w:ascii="Calibri" w:eastAsia="Times New Roman" w:hAnsi="Calibri" w:cs="Times New Roman"/>
                <w:b/>
                <w:color w:val="FFFFFF" w:themeColor="background1"/>
              </w:rPr>
            </w:pPr>
            <w:r w:rsidRPr="00A1002A">
              <w:rPr>
                <w:rFonts w:ascii="Calibri" w:eastAsia="Times New Roman" w:hAnsi="Calibri" w:cs="Times New Roman"/>
                <w:b/>
                <w:color w:val="FFFFFF" w:themeColor="background1"/>
              </w:rPr>
              <w:t>F2031</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Classroom Capacity</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75,930</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75,930</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100,190</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94,368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94,368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94,368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94,368</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Classroom WSCH Load</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41,479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42,180</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42,893</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42,893</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45,864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49,199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52,741</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 xml:space="preserve">Classroom Capacity Load </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183%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180%</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234%</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220%</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206%</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192%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179%</w:t>
            </w:r>
          </w:p>
        </w:tc>
      </w:tr>
      <w:tr w:rsidR="00A1002A" w:rsidRPr="00A1002A" w:rsidTr="00A1002A">
        <w:trPr>
          <w:trHeight w:val="300"/>
        </w:trPr>
        <w:tc>
          <w:tcPr>
            <w:tcW w:w="2540" w:type="dxa"/>
            <w:tcBorders>
              <w:top w:val="nil"/>
              <w:left w:val="single" w:sz="4" w:space="0" w:color="auto"/>
              <w:bottom w:val="single" w:sz="4" w:space="0" w:color="auto"/>
              <w:right w:val="nil"/>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Space Need/Surplus</w:t>
            </w:r>
          </w:p>
        </w:tc>
        <w:tc>
          <w:tcPr>
            <w:tcW w:w="9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-16,295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-15,964</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-27,102</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-24,348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-22,942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-21,365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-19,690</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Laboratory Capacity</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20,379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20,379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23,007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21,138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21,138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21,138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21,138</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Laboratory WSCH Load</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20,102</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20,441</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20,786</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20,786</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22,227</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23,843</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25,559</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Laboratory Capacity Load</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101%</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100%</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111%</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102%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95%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89%</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83%</w:t>
            </w:r>
          </w:p>
        </w:tc>
      </w:tr>
      <w:tr w:rsidR="00A1002A" w:rsidRPr="00A1002A" w:rsidTr="00A1002A">
        <w:trPr>
          <w:trHeight w:val="300"/>
        </w:trPr>
        <w:tc>
          <w:tcPr>
            <w:tcW w:w="2540" w:type="dxa"/>
            <w:tcBorders>
              <w:top w:val="nil"/>
              <w:left w:val="single" w:sz="4" w:space="0" w:color="auto"/>
              <w:bottom w:val="single" w:sz="4" w:space="0" w:color="auto"/>
              <w:right w:val="nil"/>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Space Need/Surplus</w:t>
            </w:r>
          </w:p>
        </w:tc>
        <w:tc>
          <w:tcPr>
            <w:tcW w:w="9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-649</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-5,197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-823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2,547</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6,329</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10,345</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Office Capacity</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263</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262</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297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295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295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295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295</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Office Load</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178</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181</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184</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184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199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207</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213</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Office Capacity Load</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161%</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160%</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139%</w:t>
            </w:r>
          </w:p>
        </w:tc>
      </w:tr>
      <w:tr w:rsidR="00A1002A" w:rsidRPr="00A1002A" w:rsidTr="00A1002A">
        <w:trPr>
          <w:trHeight w:val="300"/>
        </w:trPr>
        <w:tc>
          <w:tcPr>
            <w:tcW w:w="2540" w:type="dxa"/>
            <w:tcBorders>
              <w:top w:val="nil"/>
              <w:left w:val="single" w:sz="4" w:space="0" w:color="auto"/>
              <w:bottom w:val="single" w:sz="4" w:space="0" w:color="auto"/>
              <w:right w:val="nil"/>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Space Need/Surplus</w:t>
            </w:r>
          </w:p>
        </w:tc>
        <w:tc>
          <w:tcPr>
            <w:tcW w:w="9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-11,891</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-11,398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-15,770</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-15,558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-13,458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-12,338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-11,498</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Library Capacity</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28,825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28,825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30,284</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30,284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30,284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30,284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30,284</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Library Load</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18,872</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18,989</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19,241</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19,241</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19,980</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21,223</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22,062</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Library Capacity Load</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157%</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152%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143%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137%</w:t>
            </w:r>
          </w:p>
        </w:tc>
      </w:tr>
      <w:tr w:rsidR="00A1002A" w:rsidRPr="00A1002A" w:rsidTr="00A1002A">
        <w:trPr>
          <w:trHeight w:val="300"/>
        </w:trPr>
        <w:tc>
          <w:tcPr>
            <w:tcW w:w="2540" w:type="dxa"/>
            <w:tcBorders>
              <w:top w:val="nil"/>
              <w:left w:val="single" w:sz="4" w:space="0" w:color="auto"/>
              <w:bottom w:val="single" w:sz="4" w:space="0" w:color="auto"/>
              <w:right w:val="nil"/>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Space Need/Surplus</w:t>
            </w:r>
          </w:p>
        </w:tc>
        <w:tc>
          <w:tcPr>
            <w:tcW w:w="9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-9,953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-9,836</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-11,043</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-11,043</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-10,304</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-9,061</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-8,222</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AV/TV Capacity</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2,745</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rPr>
                <w:rFonts w:ascii="Calibri" w:eastAsia="Times New Roman" w:hAnsi="Calibri" w:cs="Times New Roman"/>
              </w:rPr>
            </w:pPr>
            <w:r w:rsidRPr="00A1002A">
              <w:rPr>
                <w:rFonts w:ascii="Calibri" w:eastAsia="Times New Roman" w:hAnsi="Calibri" w:cs="Times New Roman"/>
              </w:rPr>
              <w:t>AV/TV Load</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5,853</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5,866</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5,877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5,877</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5,944</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6,051</w:t>
            </w:r>
          </w:p>
        </w:tc>
        <w:tc>
          <w:tcPr>
            <w:tcW w:w="940" w:type="dxa"/>
            <w:tcBorders>
              <w:top w:val="nil"/>
              <w:left w:val="nil"/>
              <w:bottom w:val="single" w:sz="4" w:space="0" w:color="auto"/>
              <w:right w:val="single" w:sz="4" w:space="0" w:color="auto"/>
            </w:tcBorders>
            <w:shd w:val="clear" w:color="auto" w:fill="auto"/>
            <w:noWrap/>
            <w:vAlign w:val="bottom"/>
            <w:hideMark/>
          </w:tcPr>
          <w:p w:rsidR="00A1002A" w:rsidRPr="00A1002A" w:rsidRDefault="00A1002A" w:rsidP="00A1002A">
            <w:pPr>
              <w:spacing w:after="0" w:line="240" w:lineRule="auto"/>
              <w:jc w:val="center"/>
              <w:rPr>
                <w:rFonts w:ascii="Calibri" w:eastAsia="Times New Roman" w:hAnsi="Calibri" w:cs="Times New Roman"/>
              </w:rPr>
            </w:pPr>
            <w:r w:rsidRPr="00A1002A">
              <w:rPr>
                <w:rFonts w:ascii="Calibri" w:eastAsia="Times New Roman" w:hAnsi="Calibri" w:cs="Times New Roman"/>
              </w:rPr>
              <w:t>6,152</w:t>
            </w:r>
          </w:p>
        </w:tc>
      </w:tr>
      <w:tr w:rsidR="00A1002A" w:rsidRPr="00A1002A" w:rsidTr="00A1002A">
        <w:trPr>
          <w:trHeight w:val="300"/>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AV/TV Capacity Load</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47%</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47%</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47%</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47%</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46%</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45%</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45%</w:t>
            </w:r>
          </w:p>
        </w:tc>
      </w:tr>
      <w:tr w:rsidR="00A1002A" w:rsidRPr="00A1002A" w:rsidTr="00A1002A">
        <w:trPr>
          <w:trHeight w:val="300"/>
        </w:trPr>
        <w:tc>
          <w:tcPr>
            <w:tcW w:w="2540" w:type="dxa"/>
            <w:tcBorders>
              <w:top w:val="nil"/>
              <w:left w:val="single" w:sz="4" w:space="0" w:color="auto"/>
              <w:bottom w:val="single" w:sz="4" w:space="0" w:color="auto"/>
              <w:right w:val="nil"/>
            </w:tcBorders>
            <w:shd w:val="clear" w:color="000000" w:fill="D9D9D9"/>
            <w:noWrap/>
            <w:vAlign w:val="bottom"/>
            <w:hideMark/>
          </w:tcPr>
          <w:p w:rsidR="00A1002A" w:rsidRPr="00A1002A" w:rsidRDefault="00A1002A" w:rsidP="00A1002A">
            <w:pPr>
              <w:spacing w:after="0" w:line="240" w:lineRule="auto"/>
              <w:rPr>
                <w:rFonts w:ascii="Calibri" w:eastAsia="Times New Roman" w:hAnsi="Calibri" w:cs="Times New Roman"/>
                <w:b/>
                <w:bCs/>
              </w:rPr>
            </w:pPr>
            <w:r w:rsidRPr="00A1002A">
              <w:rPr>
                <w:rFonts w:ascii="Calibri" w:eastAsia="Times New Roman" w:hAnsi="Calibri" w:cs="Times New Roman"/>
                <w:b/>
                <w:bCs/>
              </w:rPr>
              <w:t>Space Need/Surplus</w:t>
            </w:r>
          </w:p>
        </w:tc>
        <w:tc>
          <w:tcPr>
            <w:tcW w:w="940" w:type="dxa"/>
            <w:tcBorders>
              <w:top w:val="nil"/>
              <w:left w:val="single" w:sz="4" w:space="0" w:color="auto"/>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3,108</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3,121</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3,132</w:t>
            </w:r>
          </w:p>
        </w:tc>
        <w:tc>
          <w:tcPr>
            <w:tcW w:w="102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3,132</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3,199</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3,306</w:t>
            </w:r>
          </w:p>
        </w:tc>
        <w:tc>
          <w:tcPr>
            <w:tcW w:w="940" w:type="dxa"/>
            <w:tcBorders>
              <w:top w:val="nil"/>
              <w:left w:val="nil"/>
              <w:bottom w:val="single" w:sz="4" w:space="0" w:color="auto"/>
              <w:right w:val="single" w:sz="4" w:space="0" w:color="auto"/>
            </w:tcBorders>
            <w:shd w:val="clear" w:color="000000" w:fill="D9D9D9"/>
            <w:noWrap/>
            <w:vAlign w:val="bottom"/>
            <w:hideMark/>
          </w:tcPr>
          <w:p w:rsidR="00A1002A" w:rsidRPr="00A1002A" w:rsidRDefault="00A1002A" w:rsidP="00A1002A">
            <w:pPr>
              <w:spacing w:after="0" w:line="240" w:lineRule="auto"/>
              <w:jc w:val="center"/>
              <w:rPr>
                <w:rFonts w:ascii="Calibri" w:eastAsia="Times New Roman" w:hAnsi="Calibri" w:cs="Times New Roman"/>
                <w:b/>
                <w:bCs/>
              </w:rPr>
            </w:pPr>
            <w:r w:rsidRPr="00A1002A">
              <w:rPr>
                <w:rFonts w:ascii="Calibri" w:eastAsia="Times New Roman" w:hAnsi="Calibri" w:cs="Times New Roman"/>
                <w:b/>
                <w:bCs/>
              </w:rPr>
              <w:t>3,407</w:t>
            </w:r>
          </w:p>
        </w:tc>
      </w:tr>
    </w:tbl>
    <w:p w:rsidR="00A1002A" w:rsidRDefault="00A1002A" w:rsidP="00093295">
      <w:pPr>
        <w:spacing w:after="0" w:line="240" w:lineRule="auto"/>
        <w:jc w:val="both"/>
        <w:rPr>
          <w:rFonts w:asciiTheme="minorHAnsi" w:hAnsiTheme="minorHAnsi"/>
        </w:rPr>
      </w:pPr>
      <w:r>
        <w:rPr>
          <w:rFonts w:asciiTheme="minorHAnsi" w:hAnsiTheme="minorHAnsi"/>
        </w:rPr>
        <w:t xml:space="preserve">  * 2017 ADJ estimates capacity load ratios following space inventory changes due to existing capital construction projects.</w:t>
      </w:r>
    </w:p>
    <w:p w:rsidR="00E228F9" w:rsidRDefault="00E228F9"/>
    <w:p w:rsidR="00AD1889" w:rsidRDefault="00136838" w:rsidP="00855D24">
      <w:pPr>
        <w:pStyle w:val="Heading1"/>
        <w:numPr>
          <w:ilvl w:val="0"/>
          <w:numId w:val="2"/>
        </w:numPr>
      </w:pPr>
      <w:bookmarkStart w:id="9" w:name="h.1t3h5sf" w:colFirst="0" w:colLast="0"/>
      <w:bookmarkEnd w:id="9"/>
      <w:r>
        <w:lastRenderedPageBreak/>
        <w:t>Appendices</w:t>
      </w:r>
    </w:p>
    <w:p w:rsidR="00AD1889" w:rsidRDefault="00136838">
      <w:r>
        <w:t>Recommended appendices might include:</w:t>
      </w:r>
    </w:p>
    <w:p w:rsidR="00AD1889" w:rsidRDefault="00136838" w:rsidP="00A816B4">
      <w:pPr>
        <w:numPr>
          <w:ilvl w:val="0"/>
          <w:numId w:val="4"/>
        </w:numPr>
        <w:spacing w:after="0"/>
        <w:ind w:hanging="360"/>
        <w:contextualSpacing/>
      </w:pPr>
      <w:r>
        <w:t>Qualitative Effectiveness Indicators,</w:t>
      </w:r>
    </w:p>
    <w:p w:rsidR="00AD1889" w:rsidRDefault="00136838" w:rsidP="00A816B4">
      <w:pPr>
        <w:numPr>
          <w:ilvl w:val="0"/>
          <w:numId w:val="4"/>
        </w:numPr>
        <w:spacing w:after="0"/>
        <w:ind w:hanging="360"/>
        <w:contextualSpacing/>
      </w:pPr>
      <w:r>
        <w:t>Instructional program-level data,</w:t>
      </w:r>
    </w:p>
    <w:p w:rsidR="00AD1889" w:rsidRDefault="00136838" w:rsidP="00A816B4">
      <w:pPr>
        <w:numPr>
          <w:ilvl w:val="0"/>
          <w:numId w:val="4"/>
        </w:numPr>
        <w:spacing w:after="0"/>
        <w:ind w:hanging="360"/>
        <w:contextualSpacing/>
      </w:pPr>
      <w:r>
        <w:t>Survey instruments, if necessary,</w:t>
      </w:r>
    </w:p>
    <w:p w:rsidR="00AD1889" w:rsidRDefault="00136838" w:rsidP="00A816B4">
      <w:pPr>
        <w:numPr>
          <w:ilvl w:val="0"/>
          <w:numId w:val="4"/>
        </w:numPr>
        <w:spacing w:after="0"/>
        <w:ind w:hanging="360"/>
        <w:contextualSpacing/>
      </w:pPr>
      <w:r>
        <w:t>Space standards,</w:t>
      </w:r>
    </w:p>
    <w:p w:rsidR="00AD1889" w:rsidRDefault="00136838" w:rsidP="00A816B4">
      <w:pPr>
        <w:numPr>
          <w:ilvl w:val="0"/>
          <w:numId w:val="4"/>
        </w:numPr>
        <w:ind w:hanging="360"/>
        <w:contextualSpacing/>
      </w:pPr>
      <w:r>
        <w:t>Glossary of terms (Cabrillo)</w:t>
      </w:r>
    </w:p>
    <w:p w:rsidR="00705C70" w:rsidRDefault="00705C70" w:rsidP="00A816B4">
      <w:pPr>
        <w:numPr>
          <w:ilvl w:val="0"/>
          <w:numId w:val="4"/>
        </w:numPr>
        <w:ind w:hanging="360"/>
        <w:contextualSpacing/>
      </w:pPr>
      <w:r>
        <w:t>Full listing of Service area and Regional job openings by occupation (2015-2025)</w:t>
      </w:r>
    </w:p>
    <w:p w:rsidR="00AD1889" w:rsidRDefault="00AD1889"/>
    <w:p w:rsidR="007738B0" w:rsidRDefault="00136838">
      <w:pPr>
        <w:rPr>
          <w:rFonts w:ascii="Arial" w:eastAsia="Arial" w:hAnsi="Arial" w:cs="Arial"/>
          <w:b/>
          <w:color w:val="FF0000"/>
        </w:rPr>
      </w:pPr>
      <w:r>
        <w:rPr>
          <w:rFonts w:ascii="Arial" w:eastAsia="Arial" w:hAnsi="Arial" w:cs="Arial"/>
          <w:b/>
          <w:color w:val="FF0000"/>
        </w:rPr>
        <w:t>Add content to each</w:t>
      </w:r>
    </w:p>
    <w:p w:rsidR="007738B0" w:rsidRDefault="007738B0">
      <w:pPr>
        <w:rPr>
          <w:rFonts w:ascii="Jaeger Daily News" w:eastAsia="SimHei" w:hAnsi="Jaeger Daily News" w:cs="Times New Roman"/>
          <w:b/>
          <w:bCs/>
          <w:smallCaps/>
          <w:sz w:val="36"/>
          <w:szCs w:val="36"/>
          <w:lang w:eastAsia="ja-JP"/>
        </w:rPr>
      </w:pPr>
      <w:bookmarkStart w:id="10" w:name="_Toc445199776"/>
      <w:r>
        <w:rPr>
          <w:rFonts w:ascii="Jaeger Daily News" w:eastAsia="SimHei" w:hAnsi="Jaeger Daily News" w:cs="Times New Roman"/>
          <w:b/>
          <w:bCs/>
          <w:smallCaps/>
          <w:sz w:val="36"/>
          <w:szCs w:val="36"/>
          <w:lang w:eastAsia="ja-JP"/>
        </w:rPr>
        <w:br w:type="page"/>
      </w:r>
    </w:p>
    <w:p w:rsidR="007738B0" w:rsidRPr="007738B0" w:rsidRDefault="007738B0" w:rsidP="007738B0">
      <w:pPr>
        <w:keepNext/>
        <w:keepLines/>
        <w:pBdr>
          <w:bottom w:val="single" w:sz="4" w:space="1" w:color="595959"/>
        </w:pBdr>
        <w:spacing w:before="360"/>
        <w:ind w:left="432" w:hanging="432"/>
        <w:outlineLvl w:val="0"/>
        <w:rPr>
          <w:rFonts w:ascii="Jaeger Daily News" w:eastAsia="SimHei" w:hAnsi="Jaeger Daily News" w:cs="Times New Roman"/>
          <w:b/>
          <w:bCs/>
          <w:smallCaps/>
          <w:sz w:val="36"/>
          <w:szCs w:val="36"/>
          <w:lang w:eastAsia="ja-JP"/>
        </w:rPr>
      </w:pPr>
      <w:r>
        <w:rPr>
          <w:rFonts w:ascii="Jaeger Daily News" w:eastAsia="SimHei" w:hAnsi="Jaeger Daily News" w:cs="Times New Roman"/>
          <w:b/>
          <w:bCs/>
          <w:smallCaps/>
          <w:sz w:val="36"/>
          <w:szCs w:val="36"/>
          <w:lang w:eastAsia="ja-JP"/>
        </w:rPr>
        <w:lastRenderedPageBreak/>
        <w:t>7</w:t>
      </w:r>
      <w:r>
        <w:rPr>
          <w:rFonts w:ascii="Jaeger Daily News" w:eastAsia="SimHei" w:hAnsi="Jaeger Daily News" w:cs="Times New Roman"/>
          <w:b/>
          <w:bCs/>
          <w:smallCaps/>
          <w:sz w:val="36"/>
          <w:szCs w:val="36"/>
          <w:lang w:eastAsia="ja-JP"/>
        </w:rPr>
        <w:tab/>
      </w:r>
      <w:r w:rsidRPr="007738B0">
        <w:rPr>
          <w:rFonts w:ascii="Jaeger Daily News" w:eastAsia="SimHei" w:hAnsi="Jaeger Daily News" w:cs="Times New Roman"/>
          <w:b/>
          <w:bCs/>
          <w:smallCaps/>
          <w:sz w:val="36"/>
          <w:szCs w:val="36"/>
          <w:lang w:eastAsia="ja-JP"/>
        </w:rPr>
        <w:t>Appendices</w:t>
      </w:r>
      <w:bookmarkEnd w:id="10"/>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Recommended appendices might include:</w:t>
      </w:r>
    </w:p>
    <w:p w:rsidR="007738B0" w:rsidRPr="007738B0" w:rsidRDefault="007738B0" w:rsidP="007738B0">
      <w:pPr>
        <w:keepNext/>
        <w:keepLines/>
        <w:numPr>
          <w:ilvl w:val="1"/>
          <w:numId w:val="0"/>
        </w:numPr>
        <w:spacing w:before="360" w:after="0"/>
        <w:ind w:left="576" w:hanging="576"/>
        <w:outlineLvl w:val="1"/>
        <w:rPr>
          <w:rFonts w:ascii="Jaeger Daily News" w:eastAsia="SimHei" w:hAnsi="Jaeger Daily News" w:cs="Times New Roman"/>
          <w:b/>
          <w:bCs/>
          <w:smallCaps/>
          <w:sz w:val="28"/>
          <w:szCs w:val="28"/>
          <w:lang w:eastAsia="ja-JP"/>
        </w:rPr>
      </w:pPr>
      <w:r>
        <w:rPr>
          <w:rFonts w:ascii="Jaeger Daily News" w:eastAsia="SimHei" w:hAnsi="Jaeger Daily News" w:cs="Times New Roman"/>
          <w:b/>
          <w:bCs/>
          <w:smallCaps/>
          <w:sz w:val="28"/>
          <w:szCs w:val="28"/>
          <w:lang w:eastAsia="ja-JP"/>
        </w:rPr>
        <w:t>7.1</w:t>
      </w:r>
      <w:r>
        <w:rPr>
          <w:rFonts w:ascii="Jaeger Daily News" w:eastAsia="SimHei" w:hAnsi="Jaeger Daily News" w:cs="Times New Roman"/>
          <w:b/>
          <w:bCs/>
          <w:smallCaps/>
          <w:sz w:val="28"/>
          <w:szCs w:val="28"/>
          <w:lang w:eastAsia="ja-JP"/>
        </w:rPr>
        <w:tab/>
      </w:r>
      <w:r w:rsidRPr="007738B0">
        <w:rPr>
          <w:rFonts w:ascii="Jaeger Daily News" w:eastAsia="SimHei" w:hAnsi="Jaeger Daily News" w:cs="Times New Roman"/>
          <w:b/>
          <w:bCs/>
          <w:smallCaps/>
          <w:sz w:val="28"/>
          <w:szCs w:val="28"/>
          <w:lang w:eastAsia="ja-JP"/>
        </w:rPr>
        <w:t>Qualitative Effectiveness Indicators</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Quantitative Effectiveness Indicators (QEIs) assess progress Crafton Hills College is making in its efforts to meet the nine Strategic Directions. The QEIs are listed below with data available through 2014-2015. Complete data are also updated and maintained with more recent years through Crafton Hills College’s Office of Institutional Effectiveness, Research, and Planning website at http://www.craftonhills.edu/research.</w:t>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t>7.1.1</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Course Success Rate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The Course Success Rate indicator assesses how well Crafton Hills College is meeting its Strategic Directions to Promote Student Success and Develop Teaching and Learning Practices as measured by the percentage of students earning a grade on record of A, B, C, or CR/P in a credit course.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 </w:t>
      </w:r>
      <w:r w:rsidRPr="007738B0">
        <w:rPr>
          <w:rFonts w:ascii="Gill Sans MT" w:eastAsia="SimSun" w:hAnsi="Gill Sans MT" w:cs="Times New Roman"/>
          <w:noProof/>
          <w:color w:val="auto"/>
        </w:rPr>
        <w:drawing>
          <wp:inline distT="0" distB="0" distL="0" distR="0">
            <wp:extent cx="5486400" cy="31718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738B0" w:rsidRPr="007738B0" w:rsidRDefault="007738B0" w:rsidP="007738B0">
      <w:pPr>
        <w:rPr>
          <w:rFonts w:ascii="Jaeger Daily News" w:eastAsia="SimHei" w:hAnsi="Jaeger Daily News" w:cs="Times New Roman"/>
          <w:b/>
          <w:bCs/>
          <w:lang w:eastAsia="ja-JP"/>
        </w:rPr>
      </w:pPr>
      <w:r w:rsidRPr="007738B0">
        <w:rPr>
          <w:rFonts w:ascii="Gill Sans MT" w:eastAsia="SimSun" w:hAnsi="Gill Sans MT" w:cs="Times New Roman"/>
          <w:color w:val="auto"/>
          <w:lang w:eastAsia="ja-JP"/>
        </w:rPr>
        <w:br w:type="page"/>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7.1.2</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English, Reading, &amp; Math Throughput Rates</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The English, Reading, and Math Throughput Rates indicator assesses how well Crafton Hills College is meeting its Strategic Direction to Promote Student Success as measured by the percentage of students successfully completing the basic skills and developmental course pathway to transfer-level math or English.</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4385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352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7.1.3</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Retention (Persistence) Rate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The Retention (Persistence) Rate indicator assesses how well Crafton Hills College is meeting its Strategic Direction to Promote Student Success as measured by the percentage of students earning a grade on record in the </w:t>
      </w:r>
      <w:proofErr w:type="gramStart"/>
      <w:r w:rsidRPr="007738B0">
        <w:rPr>
          <w:rFonts w:ascii="Gill Sans MT" w:eastAsia="SimSun" w:hAnsi="Gill Sans MT" w:cs="Times New Roman"/>
          <w:color w:val="auto"/>
          <w:lang w:eastAsia="ja-JP"/>
        </w:rPr>
        <w:t>Spring</w:t>
      </w:r>
      <w:proofErr w:type="gramEnd"/>
      <w:r w:rsidRPr="007738B0">
        <w:rPr>
          <w:rFonts w:ascii="Gill Sans MT" w:eastAsia="SimSun" w:hAnsi="Gill Sans MT" w:cs="Times New Roman"/>
          <w:color w:val="auto"/>
          <w:lang w:eastAsia="ja-JP"/>
        </w:rPr>
        <w:t xml:space="preserve"> term after earning a grade on record in the preceding Fall term.</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29146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t>7.1.4</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Degrees &amp; Certificates</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The Degrees &amp; Certificates indicator assesses how well Crafton Hills College is meeting its Strategic Direction to Promote Student Success as measured by the number of awards conferred annually.</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1527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38B0" w:rsidRDefault="007738B0" w:rsidP="007738B0">
      <w:pPr>
        <w:keepNext/>
        <w:keepLines/>
        <w:spacing w:before="200" w:after="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br/>
      </w:r>
    </w:p>
    <w:p w:rsidR="007738B0" w:rsidRDefault="007738B0" w:rsidP="007738B0">
      <w:pPr>
        <w:rPr>
          <w:lang w:eastAsia="ja-JP"/>
        </w:rPr>
      </w:pPr>
      <w:r>
        <w:rPr>
          <w:lang w:eastAsia="ja-JP"/>
        </w:rPr>
        <w:br w:type="page"/>
      </w:r>
    </w:p>
    <w:p w:rsidR="007738B0" w:rsidRPr="007738B0" w:rsidRDefault="007738B0" w:rsidP="007738B0">
      <w:pPr>
        <w:keepNext/>
        <w:keepLines/>
        <w:spacing w:before="200" w:after="0"/>
        <w:outlineLvl w:val="2"/>
        <w:rPr>
          <w:rFonts w:ascii="Jaeger Daily News" w:eastAsia="SimHei" w:hAnsi="Jaeger Daily News" w:cs="Times New Roman"/>
          <w:b/>
          <w:bCs/>
          <w:lang w:eastAsia="ja-JP"/>
        </w:rPr>
      </w:pPr>
      <w:r w:rsidRPr="007738B0">
        <w:rPr>
          <w:rFonts w:ascii="Jaeger Daily News" w:eastAsia="SimHei" w:hAnsi="Jaeger Daily News" w:cs="Times New Roman"/>
          <w:b/>
          <w:bCs/>
          <w:lang w:eastAsia="ja-JP"/>
        </w:rPr>
        <w:lastRenderedPageBreak/>
        <w:t>Transfer Rate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The Transfer Rate indicator assesses how well Crafton Hills College is meeting its Strategic Direction to Promote Student Success as measured by the percentage students who transfer within a cohort of first-time college students who earn 12 or more units and attempted transfer-level math or English within six years of first enrolling at Crafton Hills College.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5909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738B0" w:rsidRDefault="007738B0">
      <w:r>
        <w:br w:type="page"/>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7.1.5</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Outcomes Assessment</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The Outcomes Assessment </w:t>
      </w:r>
      <w:proofErr w:type="gramStart"/>
      <w:r w:rsidRPr="007738B0">
        <w:rPr>
          <w:rFonts w:ascii="Gill Sans MT" w:eastAsia="SimSun" w:hAnsi="Gill Sans MT" w:cs="Times New Roman"/>
          <w:color w:val="auto"/>
          <w:lang w:eastAsia="ja-JP"/>
        </w:rPr>
        <w:t>indicator assess</w:t>
      </w:r>
      <w:proofErr w:type="gramEnd"/>
      <w:r w:rsidRPr="007738B0">
        <w:rPr>
          <w:rFonts w:ascii="Gill Sans MT" w:eastAsia="SimSun" w:hAnsi="Gill Sans MT" w:cs="Times New Roman"/>
          <w:color w:val="auto"/>
          <w:lang w:eastAsia="ja-JP"/>
        </w:rPr>
        <w:t xml:space="preserve"> how well Crafton Hills College is meeting its Strategic Direction to Develop Teaching &amp; Learning Practices as measured by the percentage of students who are meeting the Institutional Learning Outcomes.</w:t>
      </w:r>
    </w:p>
    <w:p w:rsidR="007738B0" w:rsidRPr="007738B0" w:rsidRDefault="00356BC7" w:rsidP="007738B0">
      <w:pPr>
        <w:rPr>
          <w:rFonts w:ascii="Gill Sans MT" w:eastAsia="SimSun" w:hAnsi="Gill Sans MT" w:cs="Times New Roman"/>
          <w:color w:val="auto"/>
          <w:lang w:eastAsia="ja-JP"/>
        </w:rPr>
      </w:pPr>
      <w:r>
        <w:rPr>
          <w:rFonts w:ascii="Gill Sans MT" w:eastAsia="SimSun" w:hAnsi="Gill Sans MT" w:cs="Times New Roman"/>
          <w:noProof/>
          <w:color w:val="auto"/>
        </w:rPr>
        <w:pict>
          <v:shape id="Text Box 11" o:spid="_x0000_s1227" type="#_x0000_t202" style="position:absolute;margin-left:255pt;margin-top:91.6pt;width:29.2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" filled="f" stroked="f" strokeweight=".5pt">
            <v:textbox>
              <w:txbxContent>
                <w:p w:rsidR="00356BC7" w:rsidRPr="006F4806" w:rsidRDefault="00356BC7" w:rsidP="007738B0">
                  <w:pPr>
                    <w:rPr>
                      <w:sz w:val="16"/>
                    </w:rPr>
                  </w:pPr>
                  <w:r w:rsidRPr="006F4806">
                    <w:rPr>
                      <w:sz w:val="16"/>
                    </w:rPr>
                    <w:t>90%</w:t>
                  </w:r>
                </w:p>
              </w:txbxContent>
            </v:textbox>
          </v:shape>
        </w:pict>
      </w:r>
      <w:r>
        <w:rPr>
          <w:rFonts w:ascii="Gill Sans MT" w:eastAsia="SimSun" w:hAnsi="Gill Sans MT" w:cs="Times New Roman"/>
          <w:noProof/>
          <w:color w:val="auto"/>
        </w:rPr>
        <w:pict>
          <v:shape id="Text Box 12" o:spid="_x0000_s1228" type="#_x0000_t202" style="position:absolute;margin-left:202.5pt;margin-top:172.45pt;width:29.2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" filled="f" stroked="f" strokeweight=".5pt">
            <v:textbox>
              <w:txbxContent>
                <w:p w:rsidR="00356BC7" w:rsidRPr="006F4806" w:rsidRDefault="00356BC7" w:rsidP="007738B0">
                  <w:pPr>
                    <w:rPr>
                      <w:sz w:val="16"/>
                    </w:rPr>
                  </w:pPr>
                  <w:r>
                    <w:rPr>
                      <w:sz w:val="16"/>
                    </w:rPr>
                    <w:t>5</w:t>
                  </w:r>
                  <w:r w:rsidRPr="006F4806">
                    <w:rPr>
                      <w:sz w:val="16"/>
                    </w:rPr>
                    <w:t>0%</w:t>
                  </w:r>
                </w:p>
              </w:txbxContent>
            </v:textbox>
          </v:shape>
        </w:pict>
      </w:r>
      <w:r>
        <w:rPr>
          <w:rFonts w:ascii="Gill Sans MT" w:eastAsia="SimSun" w:hAnsi="Gill Sans MT" w:cs="Times New Roman"/>
          <w:noProof/>
          <w:color w:val="auto"/>
        </w:rPr>
        <w:pict>
          <v:shape id="Text Box 13" o:spid="_x0000_s1229" type="#_x0000_t202" style="position:absolute;margin-left:228.75pt;margin-top:132.1pt;width:29.2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" filled="f" stroked="f" strokeweight=".5pt">
            <v:textbox>
              <w:txbxContent>
                <w:p w:rsidR="00356BC7" w:rsidRPr="006F4806" w:rsidRDefault="00356BC7" w:rsidP="007738B0">
                  <w:pPr>
                    <w:rPr>
                      <w:sz w:val="16"/>
                    </w:rPr>
                  </w:pPr>
                  <w:r>
                    <w:rPr>
                      <w:sz w:val="16"/>
                    </w:rPr>
                    <w:t>7</w:t>
                  </w:r>
                  <w:r w:rsidRPr="006F4806">
                    <w:rPr>
                      <w:sz w:val="16"/>
                    </w:rPr>
                    <w:t>0%</w:t>
                  </w:r>
                </w:p>
              </w:txbxContent>
            </v:textbox>
          </v:shape>
        </w:pict>
      </w:r>
      <w:r w:rsidR="007738B0" w:rsidRPr="007738B0">
        <w:rPr>
          <w:rFonts w:ascii="Gill Sans MT" w:eastAsia="SimSun" w:hAnsi="Gill Sans MT" w:cs="Times New Roman"/>
          <w:noProof/>
          <w:color w:val="auto"/>
        </w:rPr>
        <w:drawing>
          <wp:inline distT="0" distB="0" distL="0" distR="0">
            <wp:extent cx="5486400" cy="43910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738B0" w:rsidRDefault="007738B0">
      <w:pPr>
        <w:rPr>
          <w:rFonts w:ascii="Gill Sans MT" w:eastAsia="SimSun" w:hAnsi="Gill Sans MT" w:cs="Times New Roman"/>
          <w:color w:val="auto"/>
          <w:lang w:eastAsia="ja-JP"/>
        </w:rPr>
      </w:pPr>
      <w:r>
        <w:rPr>
          <w:rFonts w:ascii="Gill Sans MT" w:eastAsia="SimSun" w:hAnsi="Gill Sans MT" w:cs="Times New Roman"/>
          <w:color w:val="auto"/>
          <w:lang w:eastAsia="ja-JP"/>
        </w:rPr>
        <w:br w:type="page"/>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7.1.6</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Demographic Diversity</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The Demographics Diversity indicator assesses how well Crafton Hills College is meeting its Strategic Directions to Build Campus Community, Expand Access, and Enhance Value to the Surrounding Community as measured by the percentage of students enrolling in the </w:t>
      </w:r>
      <w:proofErr w:type="gramStart"/>
      <w:r w:rsidRPr="007738B0">
        <w:rPr>
          <w:rFonts w:ascii="Gill Sans MT" w:eastAsia="SimSun" w:hAnsi="Gill Sans MT" w:cs="Times New Roman"/>
          <w:color w:val="auto"/>
          <w:lang w:eastAsia="ja-JP"/>
        </w:rPr>
        <w:t>Fall</w:t>
      </w:r>
      <w:proofErr w:type="gramEnd"/>
      <w:r w:rsidRPr="007738B0">
        <w:rPr>
          <w:rFonts w:ascii="Gill Sans MT" w:eastAsia="SimSun" w:hAnsi="Gill Sans MT" w:cs="Times New Roman"/>
          <w:color w:val="auto"/>
          <w:lang w:eastAsia="ja-JP"/>
        </w:rPr>
        <w:t xml:space="preserve"> term by ethnicity, gender, and age.</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429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448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lastRenderedPageBreak/>
        <w:drawing>
          <wp:inline distT="0" distB="0" distL="0" distR="0">
            <wp:extent cx="5486400" cy="34861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t>7.1.7</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Headcount</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The Headcount indicator assesses how well Crafton Hills College is meeting its Strategic Direction to Expand Access as measured by the number of students enrolling in the </w:t>
      </w:r>
      <w:proofErr w:type="gramStart"/>
      <w:r w:rsidRPr="007738B0">
        <w:rPr>
          <w:rFonts w:ascii="Gill Sans MT" w:eastAsia="SimSun" w:hAnsi="Gill Sans MT" w:cs="Times New Roman"/>
          <w:color w:val="auto"/>
          <w:lang w:eastAsia="ja-JP"/>
        </w:rPr>
        <w:t>Fall</w:t>
      </w:r>
      <w:proofErr w:type="gramEnd"/>
      <w:r w:rsidRPr="007738B0">
        <w:rPr>
          <w:rFonts w:ascii="Gill Sans MT" w:eastAsia="SimSun" w:hAnsi="Gill Sans MT" w:cs="Times New Roman"/>
          <w:color w:val="auto"/>
          <w:lang w:eastAsia="ja-JP"/>
        </w:rPr>
        <w:t xml:space="preserve"> term.</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45757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38B0" w:rsidRDefault="007738B0">
      <w:pPr>
        <w:rPr>
          <w:rFonts w:ascii="Jaeger Daily News" w:eastAsia="SimHei" w:hAnsi="Jaeger Daily News" w:cs="Times New Roman"/>
          <w:b/>
          <w:bCs/>
          <w:lang w:eastAsia="ja-JP"/>
        </w:rPr>
      </w:pPr>
      <w:r>
        <w:rPr>
          <w:rFonts w:ascii="Jaeger Daily News" w:eastAsia="SimHei" w:hAnsi="Jaeger Daily News" w:cs="Times New Roman"/>
          <w:b/>
          <w:bCs/>
          <w:lang w:eastAsia="ja-JP"/>
        </w:rPr>
        <w:br w:type="page"/>
      </w:r>
    </w:p>
    <w:p w:rsidR="007738B0" w:rsidRPr="007738B0" w:rsidRDefault="007738B0" w:rsidP="007738B0">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7.1.8</w:t>
      </w:r>
      <w:r>
        <w:rPr>
          <w:rFonts w:ascii="Jaeger Daily News" w:eastAsia="SimHei" w:hAnsi="Jaeger Daily News" w:cs="Times New Roman"/>
          <w:b/>
          <w:bCs/>
          <w:lang w:eastAsia="ja-JP"/>
        </w:rPr>
        <w:tab/>
      </w:r>
      <w:r w:rsidRPr="007738B0">
        <w:rPr>
          <w:rFonts w:ascii="Jaeger Daily News" w:eastAsia="SimHei" w:hAnsi="Jaeger Daily News" w:cs="Times New Roman"/>
          <w:b/>
          <w:bCs/>
          <w:lang w:eastAsia="ja-JP"/>
        </w:rPr>
        <w:t>Full-Time Equivalent Students (FTES)</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color w:val="auto"/>
          <w:lang w:eastAsia="ja-JP"/>
        </w:rPr>
        <w:t xml:space="preserve">The FTES </w:t>
      </w:r>
      <w:proofErr w:type="gramStart"/>
      <w:r w:rsidRPr="007738B0">
        <w:rPr>
          <w:rFonts w:ascii="Gill Sans MT" w:eastAsia="SimSun" w:hAnsi="Gill Sans MT" w:cs="Times New Roman"/>
          <w:color w:val="auto"/>
          <w:lang w:eastAsia="ja-JP"/>
        </w:rPr>
        <w:t>indicator assess</w:t>
      </w:r>
      <w:proofErr w:type="gramEnd"/>
      <w:r w:rsidRPr="007738B0">
        <w:rPr>
          <w:rFonts w:ascii="Gill Sans MT" w:eastAsia="SimSun" w:hAnsi="Gill Sans MT" w:cs="Times New Roman"/>
          <w:color w:val="auto"/>
          <w:lang w:eastAsia="ja-JP"/>
        </w:rPr>
        <w:t xml:space="preserve"> how well Crafton Hills College is meeting its Strategic Direction to Expand Access as measured by the number of annual credit FTES.</w:t>
      </w:r>
    </w:p>
    <w:p w:rsidR="007738B0" w:rsidRPr="007738B0" w:rsidRDefault="007738B0" w:rsidP="007738B0">
      <w:pPr>
        <w:rPr>
          <w:rFonts w:ascii="Gill Sans MT" w:eastAsia="SimSun" w:hAnsi="Gill Sans MT" w:cs="Times New Roman"/>
          <w:color w:val="auto"/>
          <w:lang w:eastAsia="ja-JP"/>
        </w:rPr>
      </w:pPr>
      <w:r w:rsidRPr="007738B0">
        <w:rPr>
          <w:rFonts w:ascii="Gill Sans MT" w:eastAsia="SimSun" w:hAnsi="Gill Sans MT" w:cs="Times New Roman"/>
          <w:noProof/>
          <w:color w:val="auto"/>
        </w:rPr>
        <w:drawing>
          <wp:inline distT="0" distB="0" distL="0" distR="0">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40EB7" w:rsidRDefault="00140EB7">
      <w:pPr>
        <w:rPr>
          <w:rFonts w:ascii="Jaeger Daily News" w:eastAsia="SimHei" w:hAnsi="Jaeger Daily News" w:cs="Times New Roman"/>
          <w:b/>
          <w:bCs/>
          <w:lang w:eastAsia="ja-JP"/>
        </w:rPr>
      </w:pPr>
      <w:r>
        <w:rPr>
          <w:rFonts w:ascii="Jaeger Daily News" w:eastAsia="SimHei" w:hAnsi="Jaeger Daily News" w:cs="Times New Roman"/>
          <w:b/>
          <w:bCs/>
          <w:lang w:eastAsia="ja-JP"/>
        </w:rPr>
        <w:br w:type="page"/>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7.1.9</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Capture Rate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The Capture Rate indicator assesses how well Crafton Hills College is meeting its Strategic Directions to Expand Access and Enhance Value to the Surrounding Community as measured by the percentage of community college students living in cities within Crafton Hills College’s service area who choose to enroll at Crafton Hills College.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738B0" w:rsidRPr="007738B0" w:rsidRDefault="007738B0" w:rsidP="007738B0">
      <w:pPr>
        <w:rPr>
          <w:rFonts w:ascii="Jaeger Daily News" w:eastAsia="SimHei" w:hAnsi="Jaeger Daily News" w:cs="Times New Roman"/>
          <w:b/>
          <w:bCs/>
          <w:lang w:eastAsia="ja-JP"/>
        </w:rPr>
      </w:pPr>
    </w:p>
    <w:p w:rsidR="00140EB7" w:rsidRDefault="00140EB7">
      <w:pPr>
        <w:rPr>
          <w:rFonts w:ascii="Gill Sans MT" w:eastAsia="SimSun" w:hAnsi="Gill Sans MT" w:cs="Times New Roman"/>
          <w:color w:val="auto"/>
          <w:lang w:eastAsia="ja-JP"/>
        </w:rPr>
      </w:pPr>
      <w:r>
        <w:rPr>
          <w:rFonts w:ascii="Gill Sans MT" w:eastAsia="SimSun" w:hAnsi="Gill Sans MT" w:cs="Times New Roman"/>
          <w:color w:val="auto"/>
          <w:lang w:eastAsia="ja-JP"/>
        </w:rPr>
        <w:br w:type="page"/>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7.1.10</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Fill Rate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The Fill Rate indicator assesses how well Crafton Hills College is meeting its Strategic Direction to Optimize Resources as measured by the proportion of seats filled at census to the total number of seats available.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40EB7" w:rsidRDefault="00140EB7">
      <w:pPr>
        <w:rPr>
          <w:rFonts w:ascii="Jaeger Daily News" w:eastAsia="SimHei" w:hAnsi="Jaeger Daily News" w:cs="Times New Roman"/>
          <w:b/>
          <w:bCs/>
          <w:lang w:eastAsia="ja-JP"/>
        </w:rPr>
      </w:pPr>
      <w:r>
        <w:rPr>
          <w:rFonts w:ascii="Jaeger Daily News" w:eastAsia="SimHei" w:hAnsi="Jaeger Daily News" w:cs="Times New Roman"/>
          <w:b/>
          <w:bCs/>
          <w:lang w:eastAsia="ja-JP"/>
        </w:rPr>
        <w:br w:type="page"/>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7.1.11</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Job Placement Rate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The Job Placement Rate indicator assesses how well Crafton Hills College is meeting its Strategic Direction to Enhance Value to the Surrounding Community as measured by the percentage of students who are employed after earning a grade on record in an occupational course.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0EB7" w:rsidRDefault="00140EB7">
      <w:pPr>
        <w:rPr>
          <w:rFonts w:ascii="Gill Sans MT" w:eastAsia="SimSun" w:hAnsi="Gill Sans MT" w:cs="Times New Roman"/>
          <w:color w:val="auto"/>
          <w:lang w:eastAsia="ja-JP"/>
        </w:rPr>
      </w:pPr>
      <w:r>
        <w:rPr>
          <w:rFonts w:ascii="Gill Sans MT" w:eastAsia="SimSun" w:hAnsi="Gill Sans MT" w:cs="Times New Roman"/>
          <w:color w:val="auto"/>
          <w:lang w:eastAsia="ja-JP"/>
        </w:rPr>
        <w:br w:type="page"/>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7.1.12</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Number of Employees</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 xml:space="preserve">The Number of Employees indicator assesses how well Crafton Hills College is meeting its Strategic Direction to Develop Programs and Services as measured by the number of employees at Crafton Hills College each </w:t>
      </w:r>
      <w:proofErr w:type="gramStart"/>
      <w:r w:rsidRPr="00140EB7">
        <w:rPr>
          <w:rFonts w:ascii="Gill Sans MT" w:eastAsia="SimSun" w:hAnsi="Gill Sans MT" w:cs="Times New Roman"/>
          <w:color w:val="auto"/>
          <w:lang w:eastAsia="ja-JP"/>
        </w:rPr>
        <w:t>Fall</w:t>
      </w:r>
      <w:proofErr w:type="gramEnd"/>
      <w:r w:rsidRPr="00140EB7">
        <w:rPr>
          <w:rFonts w:ascii="Gill Sans MT" w:eastAsia="SimSun" w:hAnsi="Gill Sans MT" w:cs="Times New Roman"/>
          <w:color w:val="auto"/>
          <w:lang w:eastAsia="ja-JP"/>
        </w:rPr>
        <w:t xml:space="preserve"> term by employee type.</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39433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40EB7" w:rsidRPr="00140EB7" w:rsidRDefault="00140EB7" w:rsidP="00140EB7">
      <w:pPr>
        <w:rPr>
          <w:rFonts w:ascii="Jaeger Daily News" w:eastAsia="SimHei" w:hAnsi="Jaeger Daily News" w:cs="Times New Roman"/>
          <w:b/>
          <w:bCs/>
          <w:lang w:eastAsia="ja-JP"/>
        </w:rPr>
      </w:pPr>
      <w:r w:rsidRPr="00140EB7">
        <w:rPr>
          <w:rFonts w:ascii="Gill Sans MT" w:eastAsia="SimSun" w:hAnsi="Gill Sans MT" w:cs="Times New Roman"/>
          <w:color w:val="auto"/>
          <w:lang w:eastAsia="ja-JP"/>
        </w:rPr>
        <w:br w:type="page"/>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7.1.13</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Student Satisfaction</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The Student Satisfaction indicator assesses how well Crafton Hills College is meeting its Strategic Directions to Promote Student Success, Build Campus Community, Develop Teaching and Learning Practices, Develop Programs and Services, and Optimize Resources as measured by students’ average level of agreement and satisfaction on a four-level scale on the Crafton Hills College Student Satisfaction Survey.</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5962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0EB7" w:rsidRPr="00140EB7" w:rsidRDefault="00140EB7" w:rsidP="00140EB7">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t>7.1.14</w:t>
      </w:r>
      <w:r>
        <w:rPr>
          <w:rFonts w:ascii="Jaeger Daily News" w:eastAsia="SimHei" w:hAnsi="Jaeger Daily News" w:cs="Times New Roman"/>
          <w:b/>
          <w:bCs/>
          <w:lang w:eastAsia="ja-JP"/>
        </w:rPr>
        <w:tab/>
      </w:r>
      <w:r w:rsidRPr="00140EB7">
        <w:rPr>
          <w:rFonts w:ascii="Jaeger Daily News" w:eastAsia="SimHei" w:hAnsi="Jaeger Daily News" w:cs="Times New Roman"/>
          <w:b/>
          <w:bCs/>
          <w:lang w:eastAsia="ja-JP"/>
        </w:rPr>
        <w:t>Employee Satisfaction</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color w:val="auto"/>
          <w:lang w:eastAsia="ja-JP"/>
        </w:rPr>
        <w:t xml:space="preserve">The Employee Satisfaction indicator assesses how well Crafton Hills College is meeting its Strategic Directions to Build Campus Community, Develop Teaching and Learning Practices, Promote Effective Decision Making, Support Employee Growth, and Optimize Resources as measured by employees’ </w:t>
      </w:r>
      <w:r w:rsidRPr="00140EB7">
        <w:rPr>
          <w:rFonts w:ascii="Gill Sans MT" w:eastAsia="SimSun" w:hAnsi="Gill Sans MT" w:cs="Times New Roman"/>
          <w:color w:val="auto"/>
          <w:lang w:eastAsia="ja-JP"/>
        </w:rPr>
        <w:lastRenderedPageBreak/>
        <w:t>average level of satisfaction on a four-level scale on the Crafton Hills College Employee Campus Climate Survey.</w:t>
      </w:r>
    </w:p>
    <w:p w:rsidR="00140EB7" w:rsidRPr="00140EB7" w:rsidRDefault="00140EB7" w:rsidP="00140EB7">
      <w:pPr>
        <w:rPr>
          <w:rFonts w:ascii="Gill Sans MT" w:eastAsia="SimSun" w:hAnsi="Gill Sans MT" w:cs="Times New Roman"/>
          <w:color w:val="auto"/>
          <w:lang w:eastAsia="ja-JP"/>
        </w:rPr>
      </w:pPr>
      <w:r w:rsidRPr="00140EB7">
        <w:rPr>
          <w:rFonts w:ascii="Gill Sans MT" w:eastAsia="SimSun" w:hAnsi="Gill Sans MT" w:cs="Times New Roman"/>
          <w:noProof/>
          <w:color w:val="auto"/>
        </w:rPr>
        <w:drawing>
          <wp:inline distT="0" distB="0" distL="0" distR="0">
            <wp:extent cx="5486400" cy="53149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738B0" w:rsidRPr="007738B0" w:rsidRDefault="007738B0" w:rsidP="007738B0">
      <w:pPr>
        <w:rPr>
          <w:rFonts w:ascii="Jaeger Daily News" w:eastAsia="SimHei" w:hAnsi="Jaeger Daily News" w:cs="Times New Roman"/>
          <w:b/>
          <w:bCs/>
          <w:lang w:eastAsia="ja-JP"/>
        </w:rPr>
      </w:pPr>
      <w:r w:rsidRPr="007738B0">
        <w:rPr>
          <w:rFonts w:ascii="Gill Sans MT" w:eastAsia="SimSun" w:hAnsi="Gill Sans MT" w:cs="Times New Roman"/>
          <w:color w:val="auto"/>
          <w:lang w:eastAsia="ja-JP"/>
        </w:rPr>
        <w:br w:type="page"/>
      </w:r>
    </w:p>
    <w:p w:rsidR="00D32976" w:rsidRPr="00D32976" w:rsidRDefault="00D32976" w:rsidP="00D32976">
      <w:pPr>
        <w:keepNext/>
        <w:keepLines/>
        <w:numPr>
          <w:ilvl w:val="2"/>
          <w:numId w:val="0"/>
        </w:numPr>
        <w:spacing w:before="200" w:after="0"/>
        <w:ind w:left="720" w:hanging="720"/>
        <w:outlineLvl w:val="2"/>
        <w:rPr>
          <w:rFonts w:ascii="Jaeger Daily News" w:eastAsia="SimHei" w:hAnsi="Jaeger Daily News" w:cs="Times New Roman"/>
          <w:b/>
          <w:bCs/>
          <w:lang w:eastAsia="ja-JP"/>
        </w:rPr>
      </w:pPr>
      <w:r>
        <w:rPr>
          <w:rFonts w:ascii="Jaeger Daily News" w:eastAsia="SimHei" w:hAnsi="Jaeger Daily News" w:cs="Times New Roman"/>
          <w:b/>
          <w:bCs/>
          <w:lang w:eastAsia="ja-JP"/>
        </w:rPr>
        <w:lastRenderedPageBreak/>
        <w:t>7.1.15</w:t>
      </w:r>
      <w:r>
        <w:rPr>
          <w:rFonts w:ascii="Jaeger Daily News" w:eastAsia="SimHei" w:hAnsi="Jaeger Daily News" w:cs="Times New Roman"/>
          <w:b/>
          <w:bCs/>
          <w:lang w:eastAsia="ja-JP"/>
        </w:rPr>
        <w:tab/>
      </w:r>
      <w:r w:rsidRPr="00D32976">
        <w:rPr>
          <w:rFonts w:ascii="Jaeger Daily News" w:eastAsia="SimHei" w:hAnsi="Jaeger Daily News" w:cs="Times New Roman"/>
          <w:b/>
          <w:bCs/>
          <w:lang w:eastAsia="ja-JP"/>
        </w:rPr>
        <w:t>Committee Self-Evaluation</w:t>
      </w:r>
    </w:p>
    <w:p w:rsidR="00D32976" w:rsidRPr="00D32976" w:rsidRDefault="00D32976" w:rsidP="00D32976">
      <w:pPr>
        <w:rPr>
          <w:rFonts w:ascii="Gill Sans MT" w:eastAsia="SimSun" w:hAnsi="Gill Sans MT" w:cs="Times New Roman"/>
          <w:color w:val="auto"/>
          <w:lang w:eastAsia="ja-JP"/>
        </w:rPr>
      </w:pPr>
      <w:r w:rsidRPr="00D32976">
        <w:rPr>
          <w:rFonts w:ascii="Gill Sans MT" w:eastAsia="SimSun" w:hAnsi="Gill Sans MT" w:cs="Times New Roman"/>
          <w:color w:val="auto"/>
          <w:lang w:eastAsia="ja-JP"/>
        </w:rPr>
        <w:t>The Committee Self-Evaluation indicator assesses how well Crafton Hills College is meeting its Strategic Directions to Promote Effective Decision Making and Support Employee Growth as measured on the Crafton Hills College Annual Committee Self-Evaluation by employees’ average level of agreement on a five-level scale of how often Crafton Hills College’s committees are collaborative, transparent, evidence-based, effective, and efficient.</w:t>
      </w:r>
    </w:p>
    <w:p w:rsidR="00D32976" w:rsidRPr="00D32976" w:rsidRDefault="00D32976" w:rsidP="00D32976">
      <w:pPr>
        <w:rPr>
          <w:rFonts w:ascii="Gill Sans MT" w:eastAsia="SimSun" w:hAnsi="Gill Sans MT" w:cs="Times New Roman"/>
          <w:color w:val="auto"/>
          <w:lang w:eastAsia="ja-JP"/>
        </w:rPr>
      </w:pPr>
      <w:r w:rsidRPr="00D32976">
        <w:rPr>
          <w:rFonts w:ascii="Gill Sans MT" w:eastAsia="SimSun" w:hAnsi="Gill Sans MT" w:cs="Times New Roman"/>
          <w:noProof/>
          <w:color w:val="auto"/>
        </w:rPr>
        <w:drawing>
          <wp:inline distT="0" distB="0" distL="0" distR="0">
            <wp:extent cx="5486400" cy="610552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05C70" w:rsidRDefault="00705C70" w:rsidP="00D32976">
      <w:pPr>
        <w:pStyle w:val="Heading2"/>
      </w:pPr>
    </w:p>
    <w:p w:rsidR="00705C70" w:rsidRDefault="00705C70" w:rsidP="001B4F65">
      <w:pPr>
        <w:pStyle w:val="Heading2"/>
        <w:ind w:left="0" w:firstLine="0"/>
        <w:sectPr w:rsidR="00705C70" w:rsidSect="0032023F">
          <w:headerReference w:type="default" r:id="rId67"/>
          <w:footerReference w:type="default" r:id="rId68"/>
          <w:pgSz w:w="12240" w:h="15840"/>
          <w:pgMar w:top="1440" w:right="1440" w:bottom="1170" w:left="1440" w:header="720" w:footer="0" w:gutter="0"/>
          <w:pgNumType w:start="1"/>
          <w:cols w:space="720"/>
          <w:docGrid w:linePitch="299"/>
        </w:sectPr>
      </w:pPr>
    </w:p>
    <w:p w:rsidR="00D32976" w:rsidRDefault="00D32976" w:rsidP="001B4F65">
      <w:pPr>
        <w:pStyle w:val="Heading2"/>
        <w:ind w:left="0" w:firstLine="0"/>
      </w:pPr>
      <w:r>
        <w:lastRenderedPageBreak/>
        <w:t>7.2</w:t>
      </w:r>
      <w:r>
        <w:tab/>
        <w:t>Instructional program-level data</w:t>
      </w:r>
    </w:p>
    <w:tbl>
      <w:tblPr>
        <w:tblStyle w:val="TableGrid"/>
        <w:tblW w:w="14012" w:type="dxa"/>
        <w:tblInd w:w="18" w:type="dxa"/>
        <w:tblLook w:val="04A0" w:firstRow="1" w:lastRow="0" w:firstColumn="1" w:lastColumn="0" w:noHBand="0" w:noVBand="1"/>
      </w:tblPr>
      <w:tblGrid>
        <w:gridCol w:w="1666"/>
        <w:gridCol w:w="2826"/>
        <w:gridCol w:w="1346"/>
        <w:gridCol w:w="936"/>
        <w:gridCol w:w="1283"/>
        <w:gridCol w:w="990"/>
        <w:gridCol w:w="1314"/>
        <w:gridCol w:w="830"/>
        <w:gridCol w:w="1053"/>
        <w:gridCol w:w="54"/>
        <w:gridCol w:w="664"/>
        <w:gridCol w:w="54"/>
        <w:gridCol w:w="942"/>
        <w:gridCol w:w="54"/>
      </w:tblGrid>
      <w:tr w:rsidR="00705C70" w:rsidRPr="002B4797" w:rsidTr="005444B2">
        <w:trPr>
          <w:gridAfter w:val="1"/>
          <w:wAfter w:w="54" w:type="dxa"/>
          <w:trHeight w:val="300"/>
          <w:tblHeader/>
        </w:trPr>
        <w:tc>
          <w:tcPr>
            <w:tcW w:w="1666" w:type="dxa"/>
            <w:vAlign w:val="center"/>
          </w:tcPr>
          <w:p w:rsidR="00705C70" w:rsidRPr="00E31C2A" w:rsidRDefault="00705C70" w:rsidP="00705C70">
            <w:pPr>
              <w:rPr>
                <w:rFonts w:ascii="Arial" w:hAnsi="Arial" w:cs="Arial"/>
                <w:b/>
                <w:caps/>
                <w:spacing w:val="20"/>
                <w:sz w:val="18"/>
                <w:szCs w:val="18"/>
              </w:rPr>
            </w:pPr>
            <w:r w:rsidRPr="00E31C2A">
              <w:rPr>
                <w:rFonts w:ascii="Arial" w:hAnsi="Arial" w:cs="Arial"/>
                <w:b/>
                <w:caps/>
                <w:spacing w:val="20"/>
                <w:sz w:val="18"/>
                <w:szCs w:val="18"/>
              </w:rPr>
              <w:t>Department</w:t>
            </w:r>
          </w:p>
        </w:tc>
        <w:tc>
          <w:tcPr>
            <w:tcW w:w="2826" w:type="dxa"/>
            <w:noWrap/>
            <w:vAlign w:val="center"/>
            <w:hideMark/>
          </w:tcPr>
          <w:p w:rsidR="00705C70" w:rsidRPr="00E31C2A" w:rsidRDefault="00705C70" w:rsidP="00705C70">
            <w:pPr>
              <w:jc w:val="center"/>
              <w:rPr>
                <w:rFonts w:ascii="Calibri" w:hAnsi="Calibri"/>
                <w:b/>
                <w:color w:val="000000"/>
              </w:rPr>
            </w:pPr>
            <w:r w:rsidRPr="00E31C2A">
              <w:rPr>
                <w:rFonts w:ascii="Arial" w:hAnsi="Arial" w:cs="Arial"/>
                <w:b/>
                <w:caps/>
                <w:spacing w:val="20"/>
                <w:sz w:val="18"/>
                <w:szCs w:val="18"/>
              </w:rPr>
              <w:t>Discipline</w:t>
            </w:r>
          </w:p>
        </w:tc>
        <w:tc>
          <w:tcPr>
            <w:tcW w:w="1346" w:type="dxa"/>
            <w:noWrap/>
            <w:vAlign w:val="center"/>
            <w:hideMark/>
          </w:tcPr>
          <w:p w:rsidR="00705C70" w:rsidRPr="00E31C2A" w:rsidRDefault="00705C70" w:rsidP="00705C70">
            <w:pPr>
              <w:jc w:val="center"/>
              <w:rPr>
                <w:rFonts w:ascii="Calibri" w:hAnsi="Calibri"/>
                <w:b/>
                <w:color w:val="000000"/>
              </w:rPr>
            </w:pPr>
            <w:r w:rsidRPr="00E31C2A">
              <w:rPr>
                <w:rFonts w:ascii="Arial" w:hAnsi="Arial" w:cs="Arial"/>
                <w:b/>
                <w:caps/>
                <w:spacing w:val="20"/>
                <w:sz w:val="18"/>
                <w:szCs w:val="18"/>
              </w:rPr>
              <w:t>Academic year</w:t>
            </w:r>
          </w:p>
        </w:tc>
        <w:tc>
          <w:tcPr>
            <w:tcW w:w="936"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Total Awards</w:t>
            </w:r>
          </w:p>
        </w:tc>
        <w:tc>
          <w:tcPr>
            <w:tcW w:w="1283"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Completion Rate</w:t>
            </w:r>
          </w:p>
        </w:tc>
        <w:tc>
          <w:tcPr>
            <w:tcW w:w="990"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Success Rate</w:t>
            </w:r>
          </w:p>
        </w:tc>
        <w:tc>
          <w:tcPr>
            <w:tcW w:w="1314"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Percent Distance Ed</w:t>
            </w:r>
          </w:p>
        </w:tc>
        <w:tc>
          <w:tcPr>
            <w:tcW w:w="830"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FTES</w:t>
            </w:r>
          </w:p>
        </w:tc>
        <w:tc>
          <w:tcPr>
            <w:tcW w:w="1053" w:type="dxa"/>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WSCH</w:t>
            </w:r>
          </w:p>
        </w:tc>
        <w:tc>
          <w:tcPr>
            <w:tcW w:w="718" w:type="dxa"/>
            <w:gridSpan w:val="2"/>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FTEF</w:t>
            </w:r>
          </w:p>
        </w:tc>
        <w:tc>
          <w:tcPr>
            <w:tcW w:w="996" w:type="dxa"/>
            <w:gridSpan w:val="2"/>
            <w:noWrap/>
            <w:vAlign w:val="center"/>
            <w:hideMark/>
          </w:tcPr>
          <w:p w:rsidR="00705C70" w:rsidRPr="00E31C2A" w:rsidRDefault="00705C70" w:rsidP="00705C70">
            <w:pPr>
              <w:jc w:val="center"/>
              <w:rPr>
                <w:rFonts w:ascii="Arial" w:hAnsi="Arial" w:cs="Arial"/>
                <w:b/>
                <w:caps/>
                <w:sz w:val="16"/>
                <w:szCs w:val="16"/>
              </w:rPr>
            </w:pPr>
            <w:r w:rsidRPr="00E31C2A">
              <w:rPr>
                <w:rFonts w:ascii="Arial" w:hAnsi="Arial" w:cs="Arial"/>
                <w:b/>
                <w:caps/>
                <w:sz w:val="16"/>
                <w:szCs w:val="16"/>
              </w:rPr>
              <w:t>WSCH / FTEF</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Allied Health Services</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Allied Health (AH)</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93.56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86.69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12.5</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40.40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1,212.09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865.78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96.96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90.87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17.74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532.11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0.70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760.16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96.83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89.59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16.41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492.34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0.70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703.35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94.67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89.97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27.37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821.17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631.67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92.49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83.05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45.6</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36.97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1,108.97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528.08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Radiologic Technology (RADIOL)</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18</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93.53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2,805.89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6.93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404.89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19</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47.91</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1,437.15</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6.93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207.38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64.55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1,936.60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6.93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279.45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16</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63.48</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1,904.39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6.89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276.48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62.27</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1,868.21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6.89</w:t>
            </w:r>
          </w:p>
        </w:tc>
        <w:tc>
          <w:tcPr>
            <w:tcW w:w="996" w:type="dxa"/>
            <w:gridSpan w:val="2"/>
            <w:noWrap/>
            <w:vAlign w:val="center"/>
            <w:hideMark/>
          </w:tcPr>
          <w:p w:rsidR="00705C70" w:rsidRDefault="00705C70" w:rsidP="00705C70">
            <w:pPr>
              <w:rPr>
                <w:rFonts w:ascii="Calibri" w:hAnsi="Calibri"/>
                <w:color w:val="000000"/>
              </w:rPr>
            </w:pPr>
            <w:r>
              <w:rPr>
                <w:rFonts w:ascii="Calibri" w:hAnsi="Calibri"/>
                <w:color w:val="000000"/>
              </w:rPr>
              <w:t> 271.15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Respiratory (RESP)</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91.73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155.33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4,659.93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14.06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331.43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97.38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93.33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168.14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5,044.30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15.55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324.39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93.36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150.60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4,518.12</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13.70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329.86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95.45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93.56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158.04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4,741.15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15.03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315.36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91.88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132.74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3,982.19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14.71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270.69</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Biological and Physical Sciences</w:t>
            </w: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Anatomy (ANAT)</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39</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86.81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67.96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181.33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5,439.94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799.99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50</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83.06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60.78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175.90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5,277.09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6.48</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814.37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50</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60.33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159.31</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4,779.40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6.00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796.57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50</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84.47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56.68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193.25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5,797.63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8.41</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689.54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50</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86.38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61.48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224.39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6,731.66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9.05</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743.50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Astronomy (ASTRON)</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70.85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52.66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33.20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996.00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452.73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84.92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58.66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18.00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540.00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391.30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75.48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62.58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15.50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465.00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0.68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683.82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82.33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61.45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25.18</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755.31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550.52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82.84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65.69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19.90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597.00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485.76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Biology (BIOL)</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89.17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139.18</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4,175.34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5.34</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781.90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89.49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74.64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114.35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3,430.60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758.98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92.49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77.11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112.51</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3,375.20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746.73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94.95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83.18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139.53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4,185.92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5.34</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783.88</w:t>
            </w:r>
          </w:p>
        </w:tc>
      </w:tr>
      <w:tr w:rsidR="00705C70" w:rsidRPr="002B4797" w:rsidTr="005444B2">
        <w:trPr>
          <w:gridAfter w:val="1"/>
          <w:wAfter w:w="54" w:type="dxa"/>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tcBorders>
              <w:bottom w:val="single" w:sz="4" w:space="0" w:color="auto"/>
            </w:tcBorders>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4</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92.42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155.39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4,661.77</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6.32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737.86</w:t>
            </w:r>
          </w:p>
        </w:tc>
      </w:tr>
      <w:tr w:rsidR="00705C70" w:rsidRPr="002B4797" w:rsidTr="005444B2">
        <w:trPr>
          <w:gridAfter w:val="1"/>
          <w:wAfter w:w="54" w:type="dxa"/>
          <w:trHeight w:val="300"/>
        </w:trPr>
        <w:tc>
          <w:tcPr>
            <w:tcW w:w="1666" w:type="dxa"/>
            <w:vMerge w:val="restart"/>
            <w:tcBorders>
              <w:top w:val="nil"/>
            </w:tcBorders>
            <w:vAlign w:val="center"/>
          </w:tcPr>
          <w:p w:rsidR="00705C70" w:rsidRDefault="00705C70" w:rsidP="00705C70">
            <w:pPr>
              <w:rPr>
                <w:rFonts w:ascii="Calibri" w:hAnsi="Calibri"/>
                <w:color w:val="000000"/>
              </w:rPr>
            </w:pPr>
            <w:r>
              <w:rPr>
                <w:rFonts w:ascii="Calibri" w:hAnsi="Calibri"/>
                <w:color w:val="000000"/>
              </w:rPr>
              <w:t>Biological and Physical Sciences</w:t>
            </w:r>
          </w:p>
        </w:tc>
        <w:tc>
          <w:tcPr>
            <w:tcW w:w="2826" w:type="dxa"/>
            <w:vMerge w:val="restart"/>
            <w:tcBorders>
              <w:top w:val="single" w:sz="4" w:space="0" w:color="auto"/>
            </w:tcBorders>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Chemistry (CHEM)</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89.59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81.75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173.63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5,208.75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651.09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93.42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87.86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136.47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4,093.99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575.00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94.87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85.13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131.25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3,937.40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611.40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88.96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74.07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173.78</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5,213.51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556.52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87.98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73.07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222.33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6,669.86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12.89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517.32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noWrap/>
            <w:vAlign w:val="center"/>
            <w:hideMark/>
          </w:tcPr>
          <w:p w:rsidR="00705C70" w:rsidRDefault="00705C70" w:rsidP="00705C70">
            <w:pPr>
              <w:rPr>
                <w:rFonts w:ascii="Calibri" w:hAnsi="Calibri"/>
                <w:color w:val="000000"/>
              </w:rPr>
            </w:pPr>
            <w:r>
              <w:rPr>
                <w:rFonts w:ascii="Calibri" w:hAnsi="Calibri"/>
                <w:color w:val="000000"/>
              </w:rPr>
              <w:t>Engineering (ENGR)</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80.77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69.23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4.09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122.72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0.24</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511.33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Geography (GEOG)</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85.71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16.70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501.00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569.32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85.41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66.49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18.75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562.40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639.09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89.81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72.82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20.87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626.20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711.59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86.36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67.42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13.80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414.00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467.27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87.43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66.47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17.05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511.60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471.09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Geology (GEOL)</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79.68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70.12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34.46</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1,033.93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1.93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535.72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86.94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73.88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31.97</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958.97</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1.82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526.91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86.22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71.56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32.82</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984.63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1.96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502.36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92.35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70.49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24.74</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742.26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1.88</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395.66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90.14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73.71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28.64</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859.25</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2.39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359.82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Microbiology (MICRO)</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83.01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76.04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99.91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2,997.40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616.75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79.77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71.39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97.69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2,930.60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603.00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75.08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62.46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79.53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2,385.80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584.75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71.68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58.96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88.96</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2,668.91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538.63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74.29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60.19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81.45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2,443.63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457.01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Oceanography (OCEAN)</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88.85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71.15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26.60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798.00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997.50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91.72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71.03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15.79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473.60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1,184.00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66.88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17.19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515.66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0.60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859.43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83.5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56.5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20.82</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624.60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780.75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88.64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65.91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13.32</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399.51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399.51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Physics (PHYSIC)</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80.45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62.41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52.56</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1,576.70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838.67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79.92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66.53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53.41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1,602.17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684.69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73.25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52.47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1,574.20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591.80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82.96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68.16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45.22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1,356.60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409.11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88.63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77.59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58.82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1,764.71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344.87</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Business, Economics, and IT</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Accounting (ACCT)</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81.68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66.03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35.07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1,052.00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556.61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84.92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72.62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34.93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1,048.00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646.91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85.43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69.29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33.66</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1,009.71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513.59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91.19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81.61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34.67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1,040.03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534.17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81.21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59.73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40.04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1,201.14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366.20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Business Administration (BUSAD)</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22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88.74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71.56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13.0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54.13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1,623.83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2.27</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715.34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25</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91.49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66.92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53.87</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1,616.00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897.78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55</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93.39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72.11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50.43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1,512.80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1.60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945.50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43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92.12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68.29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54.61</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1,638.40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819.20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92.73</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76.97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51.79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1,553.69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554.89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Computer Information Systems (CIS)</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67.65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130.81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3,924.30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9.81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400.03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86.81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67.56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128.99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3,869.80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480.12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88.31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64.17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114.65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3,439.49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432.64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91.76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66.76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11.6</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107.13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3,213.90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392.71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85.34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64.87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14.6</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96.33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2,889.76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353.79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Computer Science (CSCI)</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75.51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10.45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313.60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304.76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hideMark/>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82.03</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73.44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14.3</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24.78</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743.38</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2.26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329.22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Economics (ECON)</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80.08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60.56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50.33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1,509.89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754.94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83.23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61.13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66.44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1,993.11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996.56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87.54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64.49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63.82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1,914.49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957.24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89.46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71.25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55.37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1,661.21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755.09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91.33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76.61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13.3</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49.94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1,498.29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535.10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Marketing (MARKET)</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74.71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9.00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270.00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675.00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88.64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70.45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4.50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135.00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675.00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5.00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150.00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750.00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95.35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81.4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4.30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129.00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645.00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86.11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77.78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3.50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105.00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525.00</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College Life</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College Life (CHC)</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91.48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78.36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19.99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599.71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444.23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93.66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26.31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789.31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428.98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88.97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73.18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19.27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578.00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381.52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72.07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37.5</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279.31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316.68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92.26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29.28</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878.37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410.84</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Communication and Language</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American Sign Language (ASL)</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93.25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79.22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52.00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1,560.00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525.25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90.94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80.94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43.60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1,308.00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484.44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94.75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77.55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45.47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1,364.00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505.00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94.65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74.61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59.30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1,779.09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443.88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90.23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70.51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67.57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2,027.09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361.53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Arabic (ARABIC)</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96.88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90.63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5.55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166.40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0.33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504.24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89.61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67.53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12.97</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389.12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1.33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292.79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88.24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82.35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2.95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88.40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0.33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265.47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Communication Studies (COMMST)</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89.23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78.38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16.7</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123.94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3,718.14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476.68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90.62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81.54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18.9</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103.26</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3,097.80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469.36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90.14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78.05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16.7</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99.89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2,996.57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477.92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81.15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99.16</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2,974.80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437.47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82.52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130.14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3,904.09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450.45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French (FRENCH)</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83.12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75.32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13.33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400.00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0.99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404.04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93.18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59.09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7.63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228.80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0.66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346.67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90.48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66.67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7.11</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213.20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0.66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323.03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Japanese (JAPN)</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81.69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67.61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24.50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735.00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556.82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85.47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66.67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20.63</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618.80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0.99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625.05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90.91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72.73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18.89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566.80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0.99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572.53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85.16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70.33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30.32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909.60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455.26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89.12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68.39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33.07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992.00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331.00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Journalism (JOUR)</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43.33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100.0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3.00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90.00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0.00</w:t>
            </w:r>
          </w:p>
        </w:tc>
        <w:tc>
          <w:tcPr>
            <w:tcW w:w="996" w:type="dxa"/>
            <w:gridSpan w:val="2"/>
            <w:noWrap/>
            <w:vAlign w:val="center"/>
            <w:hideMark/>
          </w:tcPr>
          <w:p w:rsidR="00705C70" w:rsidRDefault="00705C70" w:rsidP="00705C70">
            <w:pPr>
              <w:rPr>
                <w:rFonts w:ascii="Calibri" w:hAnsi="Calibri"/>
                <w:color w:val="000000"/>
              </w:rPr>
            </w:pPr>
            <w:r>
              <w:rPr>
                <w:rFonts w:ascii="Calibri" w:hAnsi="Calibri"/>
                <w:color w:val="000000"/>
              </w:rPr>
              <w:t> </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78.57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100.0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51.00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0.00</w:t>
            </w:r>
          </w:p>
        </w:tc>
        <w:tc>
          <w:tcPr>
            <w:tcW w:w="996" w:type="dxa"/>
            <w:gridSpan w:val="2"/>
            <w:noWrap/>
            <w:vAlign w:val="center"/>
            <w:hideMark/>
          </w:tcPr>
          <w:p w:rsidR="00705C70" w:rsidRDefault="00705C70" w:rsidP="00705C70">
            <w:pPr>
              <w:rPr>
                <w:rFonts w:ascii="Calibri" w:hAnsi="Calibri"/>
                <w:color w:val="000000"/>
              </w:rPr>
            </w:pPr>
            <w:r>
              <w:rPr>
                <w:rFonts w:ascii="Calibri" w:hAnsi="Calibri"/>
                <w:color w:val="000000"/>
              </w:rPr>
              <w:t> </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97.22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63.89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100.0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3.60</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108.00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540.00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85.37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46.34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4.09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122.59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612.94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84.21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63.16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1.74</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52.11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0.00</w:t>
            </w:r>
          </w:p>
        </w:tc>
        <w:tc>
          <w:tcPr>
            <w:tcW w:w="996" w:type="dxa"/>
            <w:gridSpan w:val="2"/>
            <w:noWrap/>
            <w:vAlign w:val="center"/>
            <w:hideMark/>
          </w:tcPr>
          <w:p w:rsidR="00705C70" w:rsidRDefault="00705C70" w:rsidP="00705C70">
            <w:pPr>
              <w:rPr>
                <w:rFonts w:ascii="Calibri" w:hAnsi="Calibri"/>
                <w:color w:val="000000"/>
              </w:rPr>
            </w:pPr>
            <w:r>
              <w:rPr>
                <w:rFonts w:ascii="Calibri" w:hAnsi="Calibri"/>
                <w:color w:val="000000"/>
              </w:rPr>
              <w:t> </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Spanish (SPAN)</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70.88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100.41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3,012.36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446.28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82.93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75.23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91.45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2,743.60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505.27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86.44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72.69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85.61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2,568.40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472.31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87.77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73.37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86.67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2,600.00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433.77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85.57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71.48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99.59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2,987.60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407.81</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English and Reading</w:t>
            </w: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English (ENGL)</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86.37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71.27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5.5</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503.69</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15,110.83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37.87</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399.02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88.31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74.52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4.9</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477.08</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14,312.47</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36.39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393.31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89.81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74.74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3.9</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447.30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13,418.92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36.59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366.73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90.01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71.67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5.1</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565.75</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16,972.46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47.37</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358.31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16</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89.88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71.12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10.4</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607.29</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18,218.66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51.56</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353.38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Reading (READ)</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85.84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72.28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104.34</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3,130.05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6.64</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471.39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93.27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79.37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93.39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2,801.61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4.96</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564.84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94.78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92.99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2,789.56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4.96</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562.41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90.36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77.09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2,312.80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5.47</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422.58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91.76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70.76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81.57</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2,447.09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5.81</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421.40</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Fine Arts</w:t>
            </w: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Art (ART)</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6</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88.82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72.87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6.9</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131.70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3,950.91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6.59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599.53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88.57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16.7</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97.21</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2,916.23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5.00</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583.25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91.14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78.38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17.4</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90.64</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2,719.11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5.00</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543.82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91.98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77.1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19.4</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105.17</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3,155.20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6.28</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502.74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15</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89.63</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79.4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11.9</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103.64</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3,109.29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7.13</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435.90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Dance (DANCE)</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98.18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90.91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5.92</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177.49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0.35</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502.79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hideMark/>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94.32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81.82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9.86</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295.67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0.42</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703.99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Music (MUSIC)</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90.74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74.51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13.6</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125.90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3,776.95</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6.79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556.25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90.04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77.4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10.5</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111.70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3,350.89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6.05</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553.87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92.62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79.93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3.1</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101.87</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3,056.04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556.66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4</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93.46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81.19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9.8</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102.58</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3,077.52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6.58</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467.35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91.48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77.02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14.3</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102.41</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3,072.24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7.39</w:t>
            </w:r>
          </w:p>
        </w:tc>
        <w:tc>
          <w:tcPr>
            <w:tcW w:w="942" w:type="dxa"/>
            <w:noWrap/>
            <w:vAlign w:val="center"/>
            <w:hideMark/>
          </w:tcPr>
          <w:p w:rsidR="00705C70" w:rsidRDefault="00705C70" w:rsidP="00705C70">
            <w:pPr>
              <w:jc w:val="center"/>
              <w:rPr>
                <w:rFonts w:ascii="Calibri" w:hAnsi="Calibri"/>
                <w:color w:val="000000"/>
              </w:rPr>
            </w:pPr>
            <w:r>
              <w:rPr>
                <w:rFonts w:ascii="Calibri" w:hAnsi="Calibri"/>
                <w:color w:val="000000"/>
              </w:rPr>
              <w:t>415.95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Theater Arts (THART)</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89.24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68.46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76.72</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2,301.60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4.27</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539.02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91.49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74.96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72.54</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2,176.12</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3.94</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552.31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72.43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2,172.83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4.46</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487.18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93.24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57.59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1,727.79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4.51</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383.19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80.14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58.73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1,761.86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4.42</w:t>
            </w:r>
          </w:p>
        </w:tc>
        <w:tc>
          <w:tcPr>
            <w:tcW w:w="942"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398.34</w:t>
            </w:r>
          </w:p>
        </w:tc>
      </w:tr>
      <w:tr w:rsidR="00705C70" w:rsidRPr="002B4797" w:rsidTr="005444B2">
        <w:trPr>
          <w:gridAfter w:val="1"/>
          <w:wAfter w:w="54" w:type="dxa"/>
          <w:trHeight w:val="300"/>
        </w:trPr>
        <w:tc>
          <w:tcPr>
            <w:tcW w:w="1666" w:type="dxa"/>
            <w:vMerge w:val="restart"/>
            <w:vAlign w:val="center"/>
          </w:tcPr>
          <w:p w:rsidR="00705C70" w:rsidRDefault="00705C70" w:rsidP="00705C70">
            <w:pPr>
              <w:rPr>
                <w:rFonts w:ascii="Calibri" w:hAnsi="Calibri"/>
                <w:color w:val="000000"/>
              </w:rPr>
            </w:pPr>
            <w:r>
              <w:rPr>
                <w:rFonts w:ascii="Calibri" w:hAnsi="Calibri"/>
                <w:color w:val="000000"/>
              </w:rPr>
              <w:t>Health and Kinesiology</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Health (HEALTH)</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94.31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73.14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139.02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4,170.63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906.66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95.26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79.01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136.58</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4,097.37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1,024.34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95.13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78.41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106.55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3,196.57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799.14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95.83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78.76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20.8</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109.45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3,283.49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684.06</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95.41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78.04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112.22</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3,366.69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561.11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noWrap/>
            <w:vAlign w:val="center"/>
            <w:hideMark/>
          </w:tcPr>
          <w:p w:rsidR="00705C70" w:rsidRDefault="00705C70" w:rsidP="00705C70">
            <w:pPr>
              <w:rPr>
                <w:rFonts w:ascii="Calibri" w:hAnsi="Calibri"/>
                <w:color w:val="000000"/>
              </w:rPr>
            </w:pPr>
            <w:r>
              <w:rPr>
                <w:rFonts w:ascii="Calibri" w:hAnsi="Calibri"/>
                <w:color w:val="000000"/>
              </w:rPr>
              <w:t>Kinesiology – Dance (KIN/D)</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91.84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83.67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4.95</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148.40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0.57</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259.44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Kinesiology – Fitness (KIN/F) - Formally PE/I</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89.53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76.93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211.67</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6,349.96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741.82</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173.74</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5,212.29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7.02</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742.49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93.19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82.27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161.09</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4,832.75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723.68</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92.03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80.8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143.50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4,305.06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8.31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518.24</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91.92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78.68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117.95</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3,538.69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460.17</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Kinesiology – Sports (KIN/S) - Formally PE/T</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94.64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91.07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4.79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143.61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0.25</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574.43</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96.72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86.89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6.29</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188.80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0.28</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674.29</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90.91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85.45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5.57</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167.09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0.21</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795.65</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91.67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3.84</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115.20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402.80</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93.26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81.87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19.24</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577.09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2.00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288.25</w:t>
            </w:r>
          </w:p>
        </w:tc>
      </w:tr>
      <w:tr w:rsidR="00705C70" w:rsidRPr="002B4797" w:rsidTr="005444B2">
        <w:trPr>
          <w:gridAfter w:val="1"/>
          <w:wAfter w:w="54" w:type="dxa"/>
          <w:trHeight w:val="300"/>
        </w:trPr>
        <w:tc>
          <w:tcPr>
            <w:tcW w:w="1666" w:type="dxa"/>
            <w:vMerge/>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Kinesiology (KIN) – Formally PE</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91.37</w:t>
            </w:r>
          </w:p>
        </w:tc>
        <w:tc>
          <w:tcPr>
            <w:tcW w:w="990"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68.35</w:t>
            </w:r>
          </w:p>
        </w:tc>
        <w:tc>
          <w:tcPr>
            <w:tcW w:w="1314"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14.01</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420.21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2,101.07</w:t>
            </w:r>
          </w:p>
        </w:tc>
      </w:tr>
      <w:tr w:rsidR="00705C70" w:rsidRPr="002B4797" w:rsidTr="005444B2">
        <w:trPr>
          <w:gridAfter w:val="1"/>
          <w:wAfter w:w="54" w:type="dxa"/>
          <w:trHeight w:val="300"/>
        </w:trPr>
        <w:tc>
          <w:tcPr>
            <w:tcW w:w="1666" w:type="dxa"/>
            <w:vMerge/>
          </w:tcPr>
          <w:p w:rsidR="00705C70" w:rsidRDefault="00705C70" w:rsidP="00705C70">
            <w:pPr>
              <w:rPr>
                <w:rFonts w:ascii="Calibri" w:hAnsi="Calibri"/>
                <w:color w:val="000000"/>
              </w:rPr>
            </w:pPr>
          </w:p>
        </w:tc>
        <w:tc>
          <w:tcPr>
            <w:tcW w:w="2826" w:type="dxa"/>
            <w:vMerge/>
            <w:shd w:val="clear" w:color="auto" w:fill="D9D9D9" w:themeFill="background1" w:themeFillShade="D9"/>
            <w:noWrap/>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94.16</w:t>
            </w:r>
          </w:p>
        </w:tc>
        <w:tc>
          <w:tcPr>
            <w:tcW w:w="990"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69.34</w:t>
            </w:r>
          </w:p>
        </w:tc>
        <w:tc>
          <w:tcPr>
            <w:tcW w:w="1314"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14.30</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429.00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1,072.50</w:t>
            </w:r>
          </w:p>
        </w:tc>
      </w:tr>
      <w:tr w:rsidR="00705C70" w:rsidRPr="002B4797" w:rsidTr="005444B2">
        <w:trPr>
          <w:gridAfter w:val="1"/>
          <w:wAfter w:w="54" w:type="dxa"/>
          <w:trHeight w:val="300"/>
        </w:trPr>
        <w:tc>
          <w:tcPr>
            <w:tcW w:w="1666" w:type="dxa"/>
            <w:vMerge/>
          </w:tcPr>
          <w:p w:rsidR="00705C70" w:rsidRDefault="00705C70" w:rsidP="00705C70">
            <w:pPr>
              <w:rPr>
                <w:rFonts w:ascii="Calibri" w:hAnsi="Calibri"/>
                <w:color w:val="000000"/>
              </w:rPr>
            </w:pPr>
          </w:p>
        </w:tc>
        <w:tc>
          <w:tcPr>
            <w:tcW w:w="2826" w:type="dxa"/>
            <w:vMerge/>
            <w:shd w:val="clear" w:color="auto" w:fill="D9D9D9" w:themeFill="background1" w:themeFillShade="D9"/>
            <w:noWrap/>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95.59</w:t>
            </w:r>
          </w:p>
        </w:tc>
        <w:tc>
          <w:tcPr>
            <w:tcW w:w="990"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75</w:t>
            </w:r>
          </w:p>
        </w:tc>
        <w:tc>
          <w:tcPr>
            <w:tcW w:w="1314" w:type="dxa"/>
            <w:shd w:val="clear" w:color="auto" w:fill="D9D9D9" w:themeFill="background1" w:themeFillShade="D9"/>
            <w:noWrap/>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6.48</w:t>
            </w:r>
          </w:p>
        </w:tc>
        <w:tc>
          <w:tcPr>
            <w:tcW w:w="105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194.29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485.71</w:t>
            </w:r>
          </w:p>
        </w:tc>
      </w:tr>
      <w:tr w:rsidR="00705C70" w:rsidRPr="002B4797" w:rsidTr="005444B2">
        <w:trPr>
          <w:gridAfter w:val="1"/>
          <w:wAfter w:w="54" w:type="dxa"/>
          <w:trHeight w:val="300"/>
        </w:trPr>
        <w:tc>
          <w:tcPr>
            <w:tcW w:w="1666" w:type="dxa"/>
            <w:vMerge/>
            <w:vAlign w:val="center"/>
          </w:tcPr>
          <w:p w:rsidR="00705C70" w:rsidRDefault="00705C70" w:rsidP="00705C70">
            <w:pPr>
              <w:rPr>
                <w:rFonts w:ascii="Calibri" w:hAnsi="Calibri"/>
                <w:color w:val="000000"/>
              </w:rPr>
            </w:pPr>
          </w:p>
        </w:tc>
        <w:tc>
          <w:tcPr>
            <w:tcW w:w="2826" w:type="dxa"/>
            <w:noWrap/>
            <w:vAlign w:val="center"/>
            <w:hideMark/>
          </w:tcPr>
          <w:p w:rsidR="00705C70" w:rsidRDefault="00705C70" w:rsidP="00705C70">
            <w:pPr>
              <w:rPr>
                <w:rFonts w:ascii="Calibri" w:hAnsi="Calibri"/>
                <w:color w:val="000000"/>
              </w:rPr>
            </w:pPr>
            <w:r>
              <w:rPr>
                <w:rFonts w:ascii="Calibri" w:hAnsi="Calibri"/>
                <w:color w:val="000000"/>
              </w:rPr>
              <w:t>Kinesiology (KIN)</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96.79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84.97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25.03</w:t>
            </w:r>
          </w:p>
        </w:tc>
        <w:tc>
          <w:tcPr>
            <w:tcW w:w="1053" w:type="dxa"/>
            <w:noWrap/>
            <w:vAlign w:val="center"/>
            <w:hideMark/>
          </w:tcPr>
          <w:p w:rsidR="00705C70" w:rsidRDefault="00705C70" w:rsidP="00705C70">
            <w:pPr>
              <w:jc w:val="center"/>
              <w:rPr>
                <w:rFonts w:ascii="Calibri" w:hAnsi="Calibri"/>
                <w:color w:val="000000"/>
              </w:rPr>
            </w:pPr>
            <w:r>
              <w:rPr>
                <w:rFonts w:ascii="Calibri" w:hAnsi="Calibri"/>
                <w:color w:val="000000"/>
              </w:rPr>
              <w:t>751.03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1.62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463.88</w:t>
            </w:r>
          </w:p>
        </w:tc>
      </w:tr>
      <w:tr w:rsidR="00705C70" w:rsidRPr="002B4797" w:rsidTr="005444B2">
        <w:trPr>
          <w:trHeight w:val="300"/>
        </w:trPr>
        <w:tc>
          <w:tcPr>
            <w:tcW w:w="1666" w:type="dxa"/>
            <w:vMerge w:val="restart"/>
            <w:vAlign w:val="center"/>
          </w:tcPr>
          <w:p w:rsidR="00705C70" w:rsidRPr="006C0094" w:rsidRDefault="00705C70" w:rsidP="00705C70">
            <w:pPr>
              <w:rPr>
                <w:rFonts w:ascii="Calibri" w:hAnsi="Calibri"/>
                <w:b/>
                <w:color w:val="000000"/>
              </w:rPr>
            </w:pPr>
            <w:r w:rsidRPr="006C0094">
              <w:rPr>
                <w:rFonts w:ascii="Calibri" w:hAnsi="Calibri"/>
                <w:b/>
                <w:color w:val="000000"/>
              </w:rPr>
              <w:t>Human Development</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Child Development (CD)</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92.07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58.96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81.45</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2,443.49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521.00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89.34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63.66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78.10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2,342.93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546.14</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89.63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64.44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76.97</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2,309.16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538.27</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92.47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9.5</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65.21</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1,956.39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4.49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435.82</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92.86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68.88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68.81</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2,064.20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4.83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427.46</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Education (EDU)</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68.42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55.26</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3.80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114.00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570.00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73.33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3.00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450.00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70.27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48.65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3.60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108.00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540.00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88.24</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58.82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51.00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255.00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86.67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80</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3.00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90.00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450.00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Psychology (PSYCH)</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91.54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73.26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9.8</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158.02</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4,740.51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689.03</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89.95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72.65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130.67</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3,920.23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5.75</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681.78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93.84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76.09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14.3</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132.27</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3,967.97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698.59</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43</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93.49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77.38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138.98</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4,169.31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595.11</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75.59</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152.69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4,580.60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516.47</w:t>
            </w:r>
          </w:p>
        </w:tc>
      </w:tr>
      <w:tr w:rsidR="00705C70" w:rsidRPr="002B4797" w:rsidTr="005444B2">
        <w:trPr>
          <w:trHeight w:val="300"/>
        </w:trPr>
        <w:tc>
          <w:tcPr>
            <w:tcW w:w="1666" w:type="dxa"/>
            <w:vMerge w:val="restart"/>
            <w:vAlign w:val="center"/>
          </w:tcPr>
          <w:p w:rsidR="00705C70" w:rsidRPr="006C0094" w:rsidRDefault="00705C70" w:rsidP="00705C70">
            <w:pPr>
              <w:rPr>
                <w:rFonts w:ascii="Calibri" w:hAnsi="Calibri"/>
                <w:b/>
                <w:color w:val="000000"/>
              </w:rPr>
            </w:pPr>
            <w:r w:rsidRPr="006C0094">
              <w:rPr>
                <w:rFonts w:ascii="Calibri" w:hAnsi="Calibri"/>
                <w:b/>
                <w:color w:val="000000"/>
              </w:rPr>
              <w:t xml:space="preserve">Instructional </w:t>
            </w:r>
            <w:r w:rsidRPr="006C0094">
              <w:rPr>
                <w:rFonts w:ascii="Calibri" w:hAnsi="Calibri"/>
                <w:b/>
                <w:color w:val="000000"/>
              </w:rPr>
              <w:lastRenderedPageBreak/>
              <w:t>Support</w:t>
            </w: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lastRenderedPageBreak/>
              <w:t>Learning Resources (LRC)</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85.81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58.71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13.86</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415.95</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0.56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742.77</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94.76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76.42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32.10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963.05</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0.89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1,082.07</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95.61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75.44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55.07</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1,651.96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1,603.85</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90.66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68.68</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18.15</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544.57</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1.82</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299.87</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93.86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83.33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65.65</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1,969.51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1.13</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1,750.68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Library (LIBR)</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94.44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66.67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36.00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0.07</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514.29</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hideMark/>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94.74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78.95</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54.00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270.00</w:t>
            </w:r>
          </w:p>
        </w:tc>
      </w:tr>
      <w:tr w:rsidR="00705C70" w:rsidRPr="002B4797" w:rsidTr="005444B2">
        <w:trPr>
          <w:trHeight w:val="300"/>
        </w:trPr>
        <w:tc>
          <w:tcPr>
            <w:tcW w:w="1666" w:type="dxa"/>
            <w:vMerge w:val="restart"/>
            <w:vAlign w:val="center"/>
          </w:tcPr>
          <w:p w:rsidR="00705C70" w:rsidRPr="006C0094" w:rsidRDefault="00705C70" w:rsidP="00705C70">
            <w:pPr>
              <w:rPr>
                <w:rFonts w:ascii="Calibri" w:hAnsi="Calibri"/>
                <w:b/>
                <w:color w:val="000000"/>
              </w:rPr>
            </w:pPr>
            <w:r w:rsidRPr="006C0094">
              <w:rPr>
                <w:rFonts w:ascii="Calibri" w:hAnsi="Calibri"/>
                <w:b/>
                <w:color w:val="000000"/>
              </w:rPr>
              <w:t>Mathematics</w:t>
            </w: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Mathematics (MATH)</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7</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84.53</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62.9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689.07</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20,672.00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37.59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549.93</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5</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85.12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63.51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568.19</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17,045.74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31.48</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541.48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10</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87.8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58.3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531.06</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15,931.70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31.49</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505.96</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18</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62.04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638.91</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19,167.19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40.15</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477.39</w:t>
            </w:r>
          </w:p>
        </w:tc>
      </w:tr>
      <w:tr w:rsidR="00705C70" w:rsidRPr="002B4797" w:rsidTr="005444B2">
        <w:trPr>
          <w:trHeight w:val="300"/>
        </w:trPr>
        <w:tc>
          <w:tcPr>
            <w:tcW w:w="1666" w:type="dxa"/>
            <w:vMerge/>
            <w:tcBorders>
              <w:bottom w:val="single" w:sz="4" w:space="0" w:color="auto"/>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26</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90.62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64.75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1.6</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687.21</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20,616.43</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44.95</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458.63</w:t>
            </w:r>
          </w:p>
        </w:tc>
      </w:tr>
      <w:tr w:rsidR="00705C70" w:rsidRPr="002B4797" w:rsidTr="005444B2">
        <w:trPr>
          <w:trHeight w:val="300"/>
        </w:trPr>
        <w:tc>
          <w:tcPr>
            <w:tcW w:w="1666" w:type="dxa"/>
            <w:vMerge w:val="restart"/>
            <w:tcBorders>
              <w:bottom w:val="nil"/>
            </w:tcBorders>
            <w:vAlign w:val="center"/>
          </w:tcPr>
          <w:p w:rsidR="00705C70" w:rsidRPr="006C0094" w:rsidRDefault="00705C70" w:rsidP="00705C70">
            <w:pPr>
              <w:rPr>
                <w:rFonts w:ascii="Calibri" w:hAnsi="Calibri"/>
                <w:b/>
                <w:color w:val="000000"/>
              </w:rPr>
            </w:pPr>
            <w:r w:rsidRPr="006C0094">
              <w:rPr>
                <w:rFonts w:ascii="Calibri" w:hAnsi="Calibri"/>
                <w:b/>
                <w:color w:val="000000"/>
              </w:rPr>
              <w:t>Public Safety and Services</w:t>
            </w: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Emergency Medical Services (EMS)</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91.56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84.62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228.19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6,845.82</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12.91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530.27</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hideMark/>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94.58</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86.57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203.43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6,102.85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13.48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452.73</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94.25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88.51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184.94</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5,548.20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11.98</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463.01</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90.32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198.83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5,964.86</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13.19</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452.29</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234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94.44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88.67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202.78</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6,083.35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12.83</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474.22</w:t>
            </w:r>
          </w:p>
        </w:tc>
      </w:tr>
      <w:tr w:rsidR="00705C70" w:rsidRPr="002B4797" w:rsidTr="005444B2">
        <w:trPr>
          <w:trHeight w:val="300"/>
        </w:trPr>
        <w:tc>
          <w:tcPr>
            <w:tcW w:w="1666" w:type="dxa"/>
            <w:vMerge w:val="restart"/>
            <w:tcBorders>
              <w:top w:val="nil"/>
            </w:tcBorders>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Fire Technology (FIRET)</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90.49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70.52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136.60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4,097.98</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11.26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363.94</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55</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87.41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63.58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101.41</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3,042.30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9.04</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336.54</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88.71</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64.52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91.72</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2,751.65</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8.96</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307.10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88.67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60.88</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94.10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2,823.04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8.50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332.08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82.17</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106.78</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3,203.53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9.41</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340.29</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Public Safety (PBSF)</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94.65</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89.3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8.83</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265.01</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1.06</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250.01</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86.67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0.90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27.00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135.00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92.31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84.62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1.30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39.00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195.00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94.12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90.2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5.10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153.00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382.50</w:t>
            </w:r>
          </w:p>
        </w:tc>
      </w:tr>
      <w:tr w:rsidR="00705C70" w:rsidRPr="002B4797" w:rsidTr="005444B2">
        <w:trPr>
          <w:trHeight w:val="300"/>
        </w:trPr>
        <w:tc>
          <w:tcPr>
            <w:tcW w:w="1666" w:type="dxa"/>
            <w:vMerge/>
            <w:tcBorders>
              <w:bottom w:val="single" w:sz="4" w:space="0" w:color="auto"/>
            </w:tcBorders>
            <w:vAlign w:val="center"/>
          </w:tcPr>
          <w:p w:rsidR="00705C70" w:rsidRDefault="00705C70" w:rsidP="00705C70">
            <w:pPr>
              <w:rPr>
                <w:rFonts w:ascii="Calibri" w:hAnsi="Calibri"/>
                <w:color w:val="000000"/>
              </w:rPr>
            </w:pPr>
          </w:p>
        </w:tc>
        <w:tc>
          <w:tcPr>
            <w:tcW w:w="2826" w:type="dxa"/>
            <w:vMerge/>
            <w:tcBorders>
              <w:bottom w:val="single" w:sz="4" w:space="0" w:color="auto"/>
            </w:tcBorders>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86.96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76.09</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4.60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138.00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345.00</w:t>
            </w:r>
          </w:p>
        </w:tc>
      </w:tr>
      <w:tr w:rsidR="00705C70" w:rsidRPr="002B4797" w:rsidTr="005444B2">
        <w:trPr>
          <w:trHeight w:val="300"/>
        </w:trPr>
        <w:tc>
          <w:tcPr>
            <w:tcW w:w="1666" w:type="dxa"/>
            <w:vMerge w:val="restart"/>
            <w:tcBorders>
              <w:bottom w:val="nil"/>
            </w:tcBorders>
            <w:vAlign w:val="center"/>
          </w:tcPr>
          <w:p w:rsidR="00705C70" w:rsidRPr="006C0094" w:rsidRDefault="00705C70" w:rsidP="00705C70">
            <w:pPr>
              <w:rPr>
                <w:rFonts w:ascii="Calibri" w:hAnsi="Calibri"/>
                <w:b/>
                <w:color w:val="000000"/>
              </w:rPr>
            </w:pPr>
            <w:r w:rsidRPr="006C0094">
              <w:rPr>
                <w:rFonts w:ascii="Calibri" w:hAnsi="Calibri"/>
                <w:b/>
                <w:color w:val="000000"/>
              </w:rPr>
              <w:t>Social Science</w:t>
            </w:r>
          </w:p>
        </w:tc>
        <w:tc>
          <w:tcPr>
            <w:tcW w:w="2826" w:type="dxa"/>
            <w:vMerge w:val="restart"/>
            <w:tcBorders>
              <w:bottom w:val="single" w:sz="4" w:space="0" w:color="auto"/>
            </w:tcBorders>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Anthropology (ANTHRO)</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94.93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71.43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21.02</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630.57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1,050.95</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tcBorders>
              <w:bottom w:val="single" w:sz="4" w:space="0" w:color="auto"/>
            </w:tcBorders>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94.39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81.31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22.83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684.80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1,141.33</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tcBorders>
              <w:bottom w:val="single" w:sz="4" w:space="0" w:color="auto"/>
            </w:tcBorders>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96.02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76.12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21.44</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643.20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1,072.00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tcBorders>
              <w:bottom w:val="single" w:sz="4" w:space="0" w:color="auto"/>
            </w:tcBorders>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71.6</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25.43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762.97</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762.97</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tcBorders>
              <w:bottom w:val="single" w:sz="4" w:space="0" w:color="auto"/>
            </w:tcBorders>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93.49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77.2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31.35</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940.51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671.80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val="restart"/>
            <w:tcBorders>
              <w:top w:val="single" w:sz="4" w:space="0" w:color="auto"/>
            </w:tcBorders>
            <w:noWrap/>
            <w:vAlign w:val="center"/>
            <w:hideMark/>
          </w:tcPr>
          <w:p w:rsidR="00705C70" w:rsidRDefault="00705C70" w:rsidP="00705C70">
            <w:pPr>
              <w:rPr>
                <w:rFonts w:ascii="Calibri" w:hAnsi="Calibri"/>
                <w:color w:val="000000"/>
              </w:rPr>
            </w:pPr>
            <w:r>
              <w:rPr>
                <w:rFonts w:ascii="Calibri" w:hAnsi="Calibri"/>
                <w:color w:val="000000"/>
              </w:rPr>
              <w:t>History (HIST)</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88.52</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69.61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7.2</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173.65</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5,209.46</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4.80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1,085.30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89.41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70.25</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126.80</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3,803.92</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3.60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1,056.64</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93.99</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73.2</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2.9</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121.32</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3,639.74</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3.40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1,070.51</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12</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92.81</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75.71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12.8</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152.96</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4,588.89</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882.48</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vAlign w:val="center"/>
            <w:hideMark/>
          </w:tcPr>
          <w:p w:rsidR="00705C70" w:rsidRDefault="00705C70" w:rsidP="00705C70">
            <w:pPr>
              <w:jc w:val="center"/>
              <w:rPr>
                <w:rFonts w:ascii="Calibri" w:hAnsi="Calibri"/>
                <w:color w:val="000000"/>
              </w:rPr>
            </w:pPr>
            <w:r>
              <w:rPr>
                <w:rFonts w:ascii="Calibri" w:hAnsi="Calibri"/>
                <w:color w:val="000000"/>
              </w:rPr>
              <w:t>13</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92.28</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69.84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30.2</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155.25</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4,657.60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7.60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612.84</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Humanities (HUM)</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61.54</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42.31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5.33</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159.80</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399.50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hideMark/>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88.89</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79.63</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10.80</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323.89</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0.80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404.86</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Default="00705C70" w:rsidP="00705C70">
            <w:pPr>
              <w:rPr>
                <w:rFonts w:ascii="Calibri" w:hAnsi="Calibri"/>
                <w:color w:val="000000"/>
              </w:rPr>
            </w:pPr>
            <w:r>
              <w:rPr>
                <w:rFonts w:ascii="Calibri" w:hAnsi="Calibri"/>
                <w:color w:val="000000"/>
              </w:rPr>
              <w:t>Multicultural Studies (MCS)</w:t>
            </w: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94.87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89.74</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4.16</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124.80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624.00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91.67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83.33</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3.84</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115.20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576.00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91.67</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86.11</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3.84</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115.20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576.00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noWrap/>
            <w:vAlign w:val="center"/>
          </w:tcPr>
          <w:p w:rsidR="00705C70" w:rsidRDefault="00705C70" w:rsidP="00705C70">
            <w:pPr>
              <w:rPr>
                <w:rFonts w:ascii="Calibri" w:hAnsi="Calibri"/>
                <w:color w:val="000000"/>
              </w:rPr>
            </w:pPr>
          </w:p>
        </w:tc>
        <w:tc>
          <w:tcPr>
            <w:tcW w:w="1346" w:type="dxa"/>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noWrap/>
            <w:hideMark/>
          </w:tcPr>
          <w:p w:rsidR="00705C70" w:rsidRDefault="00705C70" w:rsidP="00705C70">
            <w:pPr>
              <w:rPr>
                <w:rFonts w:ascii="Calibri" w:hAnsi="Calibri"/>
                <w:color w:val="000000"/>
              </w:rPr>
            </w:pPr>
            <w:r>
              <w:rPr>
                <w:rFonts w:ascii="Calibri" w:hAnsi="Calibri"/>
                <w:color w:val="000000"/>
              </w:rPr>
              <w:t> </w:t>
            </w:r>
          </w:p>
        </w:tc>
        <w:tc>
          <w:tcPr>
            <w:tcW w:w="1283" w:type="dxa"/>
            <w:noWrap/>
            <w:vAlign w:val="center"/>
            <w:hideMark/>
          </w:tcPr>
          <w:p w:rsidR="00705C70" w:rsidRDefault="00705C70" w:rsidP="00705C70">
            <w:pPr>
              <w:jc w:val="center"/>
              <w:rPr>
                <w:rFonts w:ascii="Calibri" w:hAnsi="Calibri"/>
                <w:color w:val="000000"/>
              </w:rPr>
            </w:pPr>
            <w:r>
              <w:rPr>
                <w:rFonts w:ascii="Calibri" w:hAnsi="Calibri"/>
                <w:color w:val="000000"/>
              </w:rPr>
              <w:t>92.86</w:t>
            </w:r>
          </w:p>
        </w:tc>
        <w:tc>
          <w:tcPr>
            <w:tcW w:w="990" w:type="dxa"/>
            <w:noWrap/>
            <w:vAlign w:val="center"/>
            <w:hideMark/>
          </w:tcPr>
          <w:p w:rsidR="00705C70" w:rsidRDefault="00705C70" w:rsidP="00705C70">
            <w:pPr>
              <w:jc w:val="center"/>
              <w:rPr>
                <w:rFonts w:ascii="Calibri" w:hAnsi="Calibri"/>
                <w:color w:val="000000"/>
              </w:rPr>
            </w:pPr>
            <w:r>
              <w:rPr>
                <w:rFonts w:ascii="Calibri" w:hAnsi="Calibri"/>
                <w:color w:val="000000"/>
              </w:rPr>
              <w:t>78.57</w:t>
            </w:r>
          </w:p>
        </w:tc>
        <w:tc>
          <w:tcPr>
            <w:tcW w:w="1314" w:type="dxa"/>
            <w:noWrap/>
            <w:vAlign w:val="center"/>
            <w:hideMark/>
          </w:tcPr>
          <w:p w:rsidR="00705C70" w:rsidRDefault="00705C70" w:rsidP="00705C70">
            <w:pPr>
              <w:jc w:val="center"/>
              <w:rPr>
                <w:rFonts w:ascii="Calibri" w:hAnsi="Calibri"/>
                <w:color w:val="000000"/>
              </w:rPr>
            </w:pPr>
            <w:r>
              <w:rPr>
                <w:rFonts w:ascii="Calibri" w:hAnsi="Calibri"/>
                <w:color w:val="000000"/>
              </w:rPr>
              <w:t>0</w:t>
            </w:r>
          </w:p>
        </w:tc>
        <w:tc>
          <w:tcPr>
            <w:tcW w:w="830" w:type="dxa"/>
            <w:noWrap/>
            <w:vAlign w:val="center"/>
            <w:hideMark/>
          </w:tcPr>
          <w:p w:rsidR="00705C70" w:rsidRDefault="00705C70" w:rsidP="00705C70">
            <w:pPr>
              <w:jc w:val="center"/>
              <w:rPr>
                <w:rFonts w:ascii="Calibri" w:hAnsi="Calibri"/>
                <w:color w:val="000000"/>
              </w:rPr>
            </w:pPr>
            <w:r>
              <w:rPr>
                <w:rFonts w:ascii="Calibri" w:hAnsi="Calibri"/>
                <w:color w:val="000000"/>
              </w:rPr>
              <w:t>2.99</w:t>
            </w:r>
          </w:p>
        </w:tc>
        <w:tc>
          <w:tcPr>
            <w:tcW w:w="1107"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89.60</w:t>
            </w:r>
          </w:p>
        </w:tc>
        <w:tc>
          <w:tcPr>
            <w:tcW w:w="718"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0.20</w:t>
            </w:r>
          </w:p>
        </w:tc>
        <w:tc>
          <w:tcPr>
            <w:tcW w:w="996" w:type="dxa"/>
            <w:gridSpan w:val="2"/>
            <w:noWrap/>
            <w:vAlign w:val="center"/>
            <w:hideMark/>
          </w:tcPr>
          <w:p w:rsidR="00705C70" w:rsidRDefault="00705C70" w:rsidP="00705C70">
            <w:pPr>
              <w:jc w:val="center"/>
              <w:rPr>
                <w:rFonts w:ascii="Calibri" w:hAnsi="Calibri"/>
                <w:color w:val="000000"/>
              </w:rPr>
            </w:pPr>
            <w:r>
              <w:rPr>
                <w:rFonts w:ascii="Calibri" w:hAnsi="Calibri"/>
                <w:color w:val="000000"/>
              </w:rPr>
              <w:t>448.00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Default="00705C70" w:rsidP="00705C70">
            <w:pPr>
              <w:rPr>
                <w:rFonts w:ascii="Calibri" w:hAnsi="Calibri"/>
                <w:color w:val="000000"/>
              </w:rPr>
            </w:pPr>
            <w:r>
              <w:rPr>
                <w:rFonts w:ascii="Calibri" w:hAnsi="Calibri"/>
                <w:color w:val="000000"/>
              </w:rPr>
              <w:t>Philosophy (PHIL)</w:t>
            </w: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20102011</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87.43</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68.71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11.8</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68.95</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2,068.41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608.36</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20112012</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88.27</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78.21</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14.3</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56.44</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1,693.11</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651.20</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20122013</w:t>
            </w:r>
          </w:p>
        </w:tc>
        <w:tc>
          <w:tcPr>
            <w:tcW w:w="936" w:type="dxa"/>
            <w:shd w:val="clear" w:color="auto" w:fill="D9D9D9" w:themeFill="background1" w:themeFillShade="D9"/>
            <w:noWrap/>
            <w:hideMark/>
          </w:tcPr>
          <w:p w:rsidR="00705C70" w:rsidRDefault="00705C70" w:rsidP="00705C70">
            <w:pPr>
              <w:rPr>
                <w:rFonts w:ascii="Calibri" w:hAnsi="Calibri"/>
                <w:color w:val="000000"/>
              </w:rPr>
            </w:pPr>
            <w:r>
              <w:rPr>
                <w:rFonts w:ascii="Calibri" w:hAnsi="Calibri"/>
                <w:color w:val="000000"/>
              </w:rPr>
              <w:t> </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89.82</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75.54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14.3</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52.46</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1,573.94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655.81</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20132014</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88.36</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74.22</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7.1</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49.75</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1,492.54</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2.60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574.05</w:t>
            </w:r>
          </w:p>
        </w:tc>
      </w:tr>
      <w:tr w:rsidR="00705C70" w:rsidRPr="002B4797" w:rsidTr="005444B2">
        <w:trPr>
          <w:trHeight w:val="300"/>
        </w:trPr>
        <w:tc>
          <w:tcPr>
            <w:tcW w:w="1666" w:type="dxa"/>
            <w:vMerge/>
            <w:tcBorders>
              <w:bottom w:val="nil"/>
            </w:tcBorders>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20142015</w:t>
            </w:r>
          </w:p>
        </w:tc>
        <w:tc>
          <w:tcPr>
            <w:tcW w:w="936"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w:t>
            </w:r>
          </w:p>
        </w:tc>
        <w:tc>
          <w:tcPr>
            <w:tcW w:w="1283"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90.5</w:t>
            </w:r>
          </w:p>
        </w:tc>
        <w:tc>
          <w:tcPr>
            <w:tcW w:w="99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73.84</w:t>
            </w:r>
          </w:p>
        </w:tc>
        <w:tc>
          <w:tcPr>
            <w:tcW w:w="1314"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31.6</w:t>
            </w:r>
          </w:p>
        </w:tc>
        <w:tc>
          <w:tcPr>
            <w:tcW w:w="830" w:type="dxa"/>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57.09</w:t>
            </w:r>
          </w:p>
        </w:tc>
        <w:tc>
          <w:tcPr>
            <w:tcW w:w="1107"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1,712.63</w:t>
            </w:r>
          </w:p>
        </w:tc>
        <w:tc>
          <w:tcPr>
            <w:tcW w:w="718"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3.40</w:t>
            </w:r>
          </w:p>
        </w:tc>
        <w:tc>
          <w:tcPr>
            <w:tcW w:w="996" w:type="dxa"/>
            <w:gridSpan w:val="2"/>
            <w:shd w:val="clear" w:color="auto" w:fill="D9D9D9" w:themeFill="background1" w:themeFillShade="D9"/>
            <w:noWrap/>
            <w:vAlign w:val="center"/>
            <w:hideMark/>
          </w:tcPr>
          <w:p w:rsidR="00705C70" w:rsidRDefault="00705C70" w:rsidP="00705C70">
            <w:pPr>
              <w:jc w:val="center"/>
              <w:rPr>
                <w:rFonts w:ascii="Calibri" w:hAnsi="Calibri"/>
                <w:color w:val="000000"/>
              </w:rPr>
            </w:pPr>
            <w:r>
              <w:rPr>
                <w:rFonts w:ascii="Calibri" w:hAnsi="Calibri"/>
                <w:color w:val="000000"/>
              </w:rPr>
              <w:t>503.71</w:t>
            </w:r>
          </w:p>
        </w:tc>
      </w:tr>
      <w:tr w:rsidR="00705C70" w:rsidRPr="002B4797" w:rsidTr="005444B2">
        <w:trPr>
          <w:trHeight w:val="300"/>
        </w:trPr>
        <w:tc>
          <w:tcPr>
            <w:tcW w:w="1666" w:type="dxa"/>
            <w:vMerge w:val="restart"/>
            <w:tcBorders>
              <w:top w:val="nil"/>
            </w:tcBorders>
            <w:vAlign w:val="center"/>
          </w:tcPr>
          <w:p w:rsidR="00705C70" w:rsidRPr="006C0094" w:rsidRDefault="00705C70" w:rsidP="00705C70">
            <w:pPr>
              <w:rPr>
                <w:rFonts w:ascii="Calibri" w:hAnsi="Calibri"/>
                <w:b/>
                <w:color w:val="000000"/>
              </w:rPr>
            </w:pPr>
            <w:r w:rsidRPr="006C0094">
              <w:rPr>
                <w:rFonts w:ascii="Calibri" w:hAnsi="Calibri"/>
                <w:b/>
                <w:color w:val="000000"/>
              </w:rPr>
              <w:t>Social Science</w:t>
            </w:r>
          </w:p>
        </w:tc>
        <w:tc>
          <w:tcPr>
            <w:tcW w:w="2826" w:type="dxa"/>
            <w:vMerge w:val="restart"/>
            <w:shd w:val="clear" w:color="auto" w:fill="D9D9D9" w:themeFill="background1" w:themeFillShade="D9"/>
            <w:noWrap/>
            <w:vAlign w:val="center"/>
            <w:hideMark/>
          </w:tcPr>
          <w:p w:rsidR="00705C70" w:rsidRPr="001B67E5" w:rsidRDefault="00705C70" w:rsidP="00705C70">
            <w:pPr>
              <w:rPr>
                <w:rFonts w:ascii="Calibri" w:hAnsi="Calibri"/>
                <w:color w:val="000000"/>
              </w:rPr>
            </w:pPr>
            <w:r w:rsidRPr="001B67E5">
              <w:rPr>
                <w:rFonts w:ascii="Calibri" w:hAnsi="Calibri"/>
                <w:color w:val="000000"/>
              </w:rPr>
              <w:t>Political Science (POLIT)</w:t>
            </w: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20102011</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88.06</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66.09</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100.22</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3,006.57</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3.40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884.29</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20112012</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91.84</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72.28</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99.82</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2,994.49</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3.20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935.78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20122013</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91.4</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72.06</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81.13</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2,433.94</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2.80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869.27</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20132014</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12</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91.05</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74.29</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91.96</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2,758.89</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3.40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811.44</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20142015</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5</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91.67</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79.67</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82.50</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2,474.93</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3.80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651.30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noWrap/>
            <w:vAlign w:val="center"/>
            <w:hideMark/>
          </w:tcPr>
          <w:p w:rsidR="00705C70" w:rsidRPr="001B67E5" w:rsidRDefault="00705C70" w:rsidP="00705C70">
            <w:pPr>
              <w:rPr>
                <w:rFonts w:ascii="Calibri" w:hAnsi="Calibri"/>
                <w:color w:val="000000"/>
              </w:rPr>
            </w:pPr>
            <w:r w:rsidRPr="001B67E5">
              <w:rPr>
                <w:rFonts w:ascii="Calibri" w:hAnsi="Calibri"/>
                <w:color w:val="000000"/>
              </w:rPr>
              <w:t>Religion (RELIG)</w:t>
            </w:r>
          </w:p>
        </w:tc>
        <w:tc>
          <w:tcPr>
            <w:tcW w:w="134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20102011</w:t>
            </w:r>
          </w:p>
        </w:tc>
        <w:tc>
          <w:tcPr>
            <w:tcW w:w="936" w:type="dxa"/>
            <w:noWrap/>
            <w:hideMark/>
          </w:tcPr>
          <w:p w:rsidR="00705C70" w:rsidRPr="001B67E5" w:rsidRDefault="00705C70" w:rsidP="00705C70">
            <w:pPr>
              <w:rPr>
                <w:rFonts w:ascii="Calibri" w:hAnsi="Calibri"/>
                <w:color w:val="000000"/>
              </w:rPr>
            </w:pPr>
            <w:r w:rsidRPr="001B67E5">
              <w:rPr>
                <w:rFonts w:ascii="Calibri" w:hAnsi="Calibri"/>
                <w:color w:val="000000"/>
              </w:rPr>
              <w:t> </w:t>
            </w:r>
          </w:p>
        </w:tc>
        <w:tc>
          <w:tcPr>
            <w:tcW w:w="1283"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88.71</w:t>
            </w:r>
          </w:p>
        </w:tc>
        <w:tc>
          <w:tcPr>
            <w:tcW w:w="99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66.45</w:t>
            </w:r>
          </w:p>
        </w:tc>
        <w:tc>
          <w:tcPr>
            <w:tcW w:w="1314"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40.0</w:t>
            </w:r>
          </w:p>
        </w:tc>
        <w:tc>
          <w:tcPr>
            <w:tcW w:w="83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31.86</w:t>
            </w:r>
          </w:p>
        </w:tc>
        <w:tc>
          <w:tcPr>
            <w:tcW w:w="1107"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955.80</w:t>
            </w:r>
          </w:p>
        </w:tc>
        <w:tc>
          <w:tcPr>
            <w:tcW w:w="718"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1.40</w:t>
            </w:r>
          </w:p>
        </w:tc>
        <w:tc>
          <w:tcPr>
            <w:tcW w:w="996"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682.71</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Pr="001B67E5" w:rsidRDefault="00705C70" w:rsidP="00705C70">
            <w:pPr>
              <w:rPr>
                <w:rFonts w:ascii="Calibri" w:hAnsi="Calibri"/>
                <w:color w:val="000000"/>
              </w:rPr>
            </w:pPr>
          </w:p>
        </w:tc>
        <w:tc>
          <w:tcPr>
            <w:tcW w:w="134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20112012</w:t>
            </w:r>
          </w:p>
        </w:tc>
        <w:tc>
          <w:tcPr>
            <w:tcW w:w="936" w:type="dxa"/>
            <w:noWrap/>
            <w:hideMark/>
          </w:tcPr>
          <w:p w:rsidR="00705C70" w:rsidRPr="001B67E5" w:rsidRDefault="00705C70" w:rsidP="00705C70">
            <w:pPr>
              <w:rPr>
                <w:rFonts w:ascii="Calibri" w:hAnsi="Calibri"/>
                <w:color w:val="000000"/>
              </w:rPr>
            </w:pPr>
            <w:r w:rsidRPr="001B67E5">
              <w:rPr>
                <w:rFonts w:ascii="Calibri" w:hAnsi="Calibri"/>
                <w:color w:val="000000"/>
              </w:rPr>
              <w:t> </w:t>
            </w:r>
          </w:p>
        </w:tc>
        <w:tc>
          <w:tcPr>
            <w:tcW w:w="1283"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92.38</w:t>
            </w:r>
          </w:p>
        </w:tc>
        <w:tc>
          <w:tcPr>
            <w:tcW w:w="99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71.3</w:t>
            </w:r>
          </w:p>
        </w:tc>
        <w:tc>
          <w:tcPr>
            <w:tcW w:w="1314"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23.75</w:t>
            </w:r>
          </w:p>
        </w:tc>
        <w:tc>
          <w:tcPr>
            <w:tcW w:w="1107"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712.40</w:t>
            </w:r>
          </w:p>
        </w:tc>
        <w:tc>
          <w:tcPr>
            <w:tcW w:w="718"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0.80</w:t>
            </w:r>
          </w:p>
        </w:tc>
        <w:tc>
          <w:tcPr>
            <w:tcW w:w="996"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890.50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Pr="001B67E5" w:rsidRDefault="00705C70" w:rsidP="00705C70">
            <w:pPr>
              <w:rPr>
                <w:rFonts w:ascii="Calibri" w:hAnsi="Calibri"/>
                <w:color w:val="000000"/>
              </w:rPr>
            </w:pPr>
          </w:p>
        </w:tc>
        <w:tc>
          <w:tcPr>
            <w:tcW w:w="134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20122013</w:t>
            </w:r>
          </w:p>
        </w:tc>
        <w:tc>
          <w:tcPr>
            <w:tcW w:w="936" w:type="dxa"/>
            <w:noWrap/>
            <w:hideMark/>
          </w:tcPr>
          <w:p w:rsidR="00705C70" w:rsidRPr="001B67E5" w:rsidRDefault="00705C70" w:rsidP="00705C70">
            <w:pPr>
              <w:rPr>
                <w:rFonts w:ascii="Calibri" w:hAnsi="Calibri"/>
                <w:color w:val="000000"/>
              </w:rPr>
            </w:pPr>
            <w:r w:rsidRPr="001B67E5">
              <w:rPr>
                <w:rFonts w:ascii="Calibri" w:hAnsi="Calibri"/>
                <w:color w:val="000000"/>
              </w:rPr>
              <w:t> </w:t>
            </w:r>
          </w:p>
        </w:tc>
        <w:tc>
          <w:tcPr>
            <w:tcW w:w="1283"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91.71</w:t>
            </w:r>
          </w:p>
        </w:tc>
        <w:tc>
          <w:tcPr>
            <w:tcW w:w="99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70.47</w:t>
            </w:r>
          </w:p>
        </w:tc>
        <w:tc>
          <w:tcPr>
            <w:tcW w:w="1314"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16.7</w:t>
            </w:r>
          </w:p>
        </w:tc>
        <w:tc>
          <w:tcPr>
            <w:tcW w:w="83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19.52</w:t>
            </w:r>
          </w:p>
        </w:tc>
        <w:tc>
          <w:tcPr>
            <w:tcW w:w="1107"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585.49</w:t>
            </w:r>
          </w:p>
        </w:tc>
        <w:tc>
          <w:tcPr>
            <w:tcW w:w="718"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0.80</w:t>
            </w:r>
          </w:p>
        </w:tc>
        <w:tc>
          <w:tcPr>
            <w:tcW w:w="996"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731.86</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Pr="001B67E5" w:rsidRDefault="00705C70" w:rsidP="00705C70">
            <w:pPr>
              <w:rPr>
                <w:rFonts w:ascii="Calibri" w:hAnsi="Calibri"/>
                <w:color w:val="000000"/>
              </w:rPr>
            </w:pPr>
          </w:p>
        </w:tc>
        <w:tc>
          <w:tcPr>
            <w:tcW w:w="134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20132014</w:t>
            </w:r>
          </w:p>
        </w:tc>
        <w:tc>
          <w:tcPr>
            <w:tcW w:w="93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w:t>
            </w:r>
          </w:p>
        </w:tc>
        <w:tc>
          <w:tcPr>
            <w:tcW w:w="1283"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91.6</w:t>
            </w:r>
          </w:p>
        </w:tc>
        <w:tc>
          <w:tcPr>
            <w:tcW w:w="99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74.05</w:t>
            </w:r>
          </w:p>
        </w:tc>
        <w:tc>
          <w:tcPr>
            <w:tcW w:w="1314"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20.0</w:t>
            </w:r>
          </w:p>
        </w:tc>
        <w:tc>
          <w:tcPr>
            <w:tcW w:w="83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26.13</w:t>
            </w:r>
          </w:p>
        </w:tc>
        <w:tc>
          <w:tcPr>
            <w:tcW w:w="1107"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783.91</w:t>
            </w:r>
          </w:p>
        </w:tc>
        <w:tc>
          <w:tcPr>
            <w:tcW w:w="718"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1.60</w:t>
            </w:r>
          </w:p>
        </w:tc>
        <w:tc>
          <w:tcPr>
            <w:tcW w:w="996"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489.95</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noWrap/>
            <w:vAlign w:val="center"/>
          </w:tcPr>
          <w:p w:rsidR="00705C70" w:rsidRPr="001B67E5" w:rsidRDefault="00705C70" w:rsidP="00705C70">
            <w:pPr>
              <w:rPr>
                <w:rFonts w:ascii="Calibri" w:hAnsi="Calibri"/>
                <w:color w:val="000000"/>
              </w:rPr>
            </w:pPr>
          </w:p>
        </w:tc>
        <w:tc>
          <w:tcPr>
            <w:tcW w:w="1346"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20142015</w:t>
            </w:r>
          </w:p>
        </w:tc>
        <w:tc>
          <w:tcPr>
            <w:tcW w:w="936" w:type="dxa"/>
            <w:noWrap/>
            <w:hideMark/>
          </w:tcPr>
          <w:p w:rsidR="00705C70" w:rsidRPr="001B67E5" w:rsidRDefault="00705C70" w:rsidP="00705C70">
            <w:pPr>
              <w:rPr>
                <w:rFonts w:ascii="Calibri" w:hAnsi="Calibri"/>
                <w:color w:val="000000"/>
              </w:rPr>
            </w:pPr>
            <w:r w:rsidRPr="001B67E5">
              <w:rPr>
                <w:rFonts w:ascii="Calibri" w:hAnsi="Calibri"/>
                <w:color w:val="000000"/>
              </w:rPr>
              <w:t> </w:t>
            </w:r>
          </w:p>
        </w:tc>
        <w:tc>
          <w:tcPr>
            <w:tcW w:w="1283"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90.51</w:t>
            </w:r>
          </w:p>
        </w:tc>
        <w:tc>
          <w:tcPr>
            <w:tcW w:w="99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70.89</w:t>
            </w:r>
          </w:p>
        </w:tc>
        <w:tc>
          <w:tcPr>
            <w:tcW w:w="1314"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41.7</w:t>
            </w:r>
          </w:p>
        </w:tc>
        <w:tc>
          <w:tcPr>
            <w:tcW w:w="830" w:type="dxa"/>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32.61</w:t>
            </w:r>
          </w:p>
        </w:tc>
        <w:tc>
          <w:tcPr>
            <w:tcW w:w="1107"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978.20</w:t>
            </w:r>
          </w:p>
        </w:tc>
        <w:tc>
          <w:tcPr>
            <w:tcW w:w="718"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2.00</w:t>
            </w:r>
          </w:p>
        </w:tc>
        <w:tc>
          <w:tcPr>
            <w:tcW w:w="996" w:type="dxa"/>
            <w:gridSpan w:val="2"/>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489.10</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val="restart"/>
            <w:shd w:val="clear" w:color="auto" w:fill="D9D9D9" w:themeFill="background1" w:themeFillShade="D9"/>
            <w:noWrap/>
            <w:vAlign w:val="center"/>
            <w:hideMark/>
          </w:tcPr>
          <w:p w:rsidR="00705C70" w:rsidRPr="001B67E5" w:rsidRDefault="00705C70" w:rsidP="00705C70">
            <w:pPr>
              <w:rPr>
                <w:rFonts w:ascii="Calibri" w:hAnsi="Calibri"/>
                <w:color w:val="000000"/>
              </w:rPr>
            </w:pPr>
            <w:r w:rsidRPr="001B67E5">
              <w:rPr>
                <w:rFonts w:ascii="Calibri" w:hAnsi="Calibri"/>
                <w:color w:val="000000"/>
              </w:rPr>
              <w:t>Sociology (SOC)</w:t>
            </w: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20102011</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15</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91.13</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76.54</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129.93</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3,897.91</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4.00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974.48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20112012</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14</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92.77</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81.23</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112.35</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3,370.37</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3.60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936.21</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20122013</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26</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94.48</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82.64</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0</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100.48</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3,014.43</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3.20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942.01</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20132014</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37</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95.34</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80.58</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11.5</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121.34</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3,640.06</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4.20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866.68</w:t>
            </w:r>
          </w:p>
        </w:tc>
      </w:tr>
      <w:tr w:rsidR="00705C70" w:rsidRPr="002B4797" w:rsidTr="005444B2">
        <w:trPr>
          <w:trHeight w:val="300"/>
        </w:trPr>
        <w:tc>
          <w:tcPr>
            <w:tcW w:w="1666" w:type="dxa"/>
            <w:vMerge/>
            <w:vAlign w:val="center"/>
          </w:tcPr>
          <w:p w:rsidR="00705C70" w:rsidRDefault="00705C70" w:rsidP="00705C70">
            <w:pPr>
              <w:rPr>
                <w:rFonts w:ascii="Calibri" w:hAnsi="Calibri"/>
                <w:color w:val="000000"/>
              </w:rPr>
            </w:pPr>
          </w:p>
        </w:tc>
        <w:tc>
          <w:tcPr>
            <w:tcW w:w="2826" w:type="dxa"/>
            <w:vMerge/>
            <w:shd w:val="clear" w:color="auto" w:fill="D9D9D9" w:themeFill="background1" w:themeFillShade="D9"/>
            <w:noWrap/>
            <w:vAlign w:val="center"/>
          </w:tcPr>
          <w:p w:rsidR="00705C70" w:rsidRPr="001B67E5" w:rsidRDefault="00705C70" w:rsidP="00705C70">
            <w:pPr>
              <w:rPr>
                <w:rFonts w:ascii="Calibri" w:hAnsi="Calibri"/>
                <w:color w:val="000000"/>
              </w:rPr>
            </w:pPr>
          </w:p>
        </w:tc>
        <w:tc>
          <w:tcPr>
            <w:tcW w:w="134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20142015</w:t>
            </w:r>
          </w:p>
        </w:tc>
        <w:tc>
          <w:tcPr>
            <w:tcW w:w="936"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35</w:t>
            </w:r>
          </w:p>
        </w:tc>
        <w:tc>
          <w:tcPr>
            <w:tcW w:w="1283"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93.07</w:t>
            </w:r>
          </w:p>
        </w:tc>
        <w:tc>
          <w:tcPr>
            <w:tcW w:w="99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74.88</w:t>
            </w:r>
          </w:p>
        </w:tc>
        <w:tc>
          <w:tcPr>
            <w:tcW w:w="1314"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26.7</w:t>
            </w:r>
          </w:p>
        </w:tc>
        <w:tc>
          <w:tcPr>
            <w:tcW w:w="830" w:type="dxa"/>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129.97</w:t>
            </w:r>
          </w:p>
        </w:tc>
        <w:tc>
          <w:tcPr>
            <w:tcW w:w="1107"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3,898.97</w:t>
            </w:r>
          </w:p>
        </w:tc>
        <w:tc>
          <w:tcPr>
            <w:tcW w:w="718"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5.60</w:t>
            </w:r>
          </w:p>
        </w:tc>
        <w:tc>
          <w:tcPr>
            <w:tcW w:w="996" w:type="dxa"/>
            <w:gridSpan w:val="2"/>
            <w:shd w:val="clear" w:color="auto" w:fill="D9D9D9" w:themeFill="background1" w:themeFillShade="D9"/>
            <w:noWrap/>
            <w:vAlign w:val="center"/>
            <w:hideMark/>
          </w:tcPr>
          <w:p w:rsidR="00705C70" w:rsidRPr="001B67E5" w:rsidRDefault="00705C70" w:rsidP="00705C70">
            <w:pPr>
              <w:jc w:val="center"/>
              <w:rPr>
                <w:rFonts w:ascii="Calibri" w:hAnsi="Calibri"/>
                <w:color w:val="000000"/>
              </w:rPr>
            </w:pPr>
            <w:r w:rsidRPr="001B67E5">
              <w:rPr>
                <w:rFonts w:ascii="Calibri" w:hAnsi="Calibri"/>
                <w:color w:val="000000"/>
              </w:rPr>
              <w:t>696.24</w:t>
            </w:r>
          </w:p>
        </w:tc>
      </w:tr>
    </w:tbl>
    <w:p w:rsidR="00705C70" w:rsidRPr="00A91670" w:rsidRDefault="00705C70" w:rsidP="005444B2">
      <w:pPr>
        <w:ind w:left="-90"/>
        <w:rPr>
          <w:sz w:val="16"/>
          <w:szCs w:val="16"/>
        </w:rPr>
      </w:pPr>
      <w:r w:rsidRPr="00A91670">
        <w:rPr>
          <w:sz w:val="16"/>
          <w:szCs w:val="16"/>
        </w:rPr>
        <w:t xml:space="preserve">Note: </w:t>
      </w:r>
      <w:r>
        <w:rPr>
          <w:sz w:val="16"/>
          <w:szCs w:val="16"/>
        </w:rPr>
        <w:t>Total awards include both degrees and certificates.  The environmental science award was included with Geology because most of the units to earn the award were in Geology.  In addition, the Health Sciences Degree was included with Anatomy because most of the units to earn the award were in Anatomy.  The Liberal Studies awards were included with Child Development.  The awards in Liberal Arts, Multiple Sciences, and Social Sciences are not illustrated here because they are too diverse to match with anyone discipline.</w:t>
      </w:r>
    </w:p>
    <w:p w:rsidR="00705C70" w:rsidRDefault="00705C70" w:rsidP="00705C70">
      <w:pPr>
        <w:sectPr w:rsidR="00705C70" w:rsidSect="00705C70">
          <w:pgSz w:w="15840" w:h="12240" w:orient="landscape"/>
          <w:pgMar w:top="1440" w:right="1440" w:bottom="1440" w:left="1166" w:header="720" w:footer="0" w:gutter="0"/>
          <w:pgNumType w:start="1"/>
          <w:cols w:space="720"/>
          <w:docGrid w:linePitch="299"/>
        </w:sectPr>
      </w:pPr>
    </w:p>
    <w:p w:rsidR="00705C70" w:rsidRDefault="00705C70" w:rsidP="00705C70"/>
    <w:p w:rsidR="00D32976" w:rsidRDefault="00D32976" w:rsidP="00D32976">
      <w:pPr>
        <w:pStyle w:val="Heading2"/>
      </w:pPr>
      <w:r>
        <w:t>7.</w:t>
      </w:r>
      <w:r w:rsidR="00705C70">
        <w:t>3</w:t>
      </w:r>
      <w:r>
        <w:tab/>
        <w:t>Survey instruments, if necessary</w:t>
      </w:r>
    </w:p>
    <w:p w:rsidR="00E228F9" w:rsidRPr="00705C70" w:rsidRDefault="001B4F65" w:rsidP="00E228F9">
      <w:r>
        <w:rPr>
          <w:rFonts w:ascii="Arial" w:hAnsi="Arial" w:cs="Arial"/>
          <w:b/>
          <w:color w:val="FF0000"/>
        </w:rPr>
        <w:t xml:space="preserve">Add content </w:t>
      </w:r>
    </w:p>
    <w:p w:rsidR="00E228F9" w:rsidRPr="00E228F9" w:rsidRDefault="00E228F9" w:rsidP="00E228F9"/>
    <w:p w:rsidR="00D32976" w:rsidRDefault="00D32976" w:rsidP="00D32976">
      <w:pPr>
        <w:pStyle w:val="Heading2"/>
      </w:pPr>
      <w:r>
        <w:t>7.</w:t>
      </w:r>
      <w:r w:rsidR="00705C70">
        <w:t>4</w:t>
      </w:r>
      <w:r>
        <w:tab/>
        <w:t>Space standards</w:t>
      </w:r>
    </w:p>
    <w:p w:rsidR="00E228F9" w:rsidRPr="001B4F65" w:rsidRDefault="001B4F65" w:rsidP="00E228F9">
      <w:pPr>
        <w:rPr>
          <w:rFonts w:asciiTheme="minorHAnsi" w:hAnsiTheme="minorHAnsi"/>
          <w:b/>
          <w:color w:val="FF0000"/>
        </w:rPr>
      </w:pPr>
      <w:r w:rsidRPr="001B4F65">
        <w:rPr>
          <w:rFonts w:asciiTheme="minorHAnsi" w:hAnsiTheme="minorHAnsi"/>
          <w:b/>
          <w:color w:val="FF0000"/>
        </w:rPr>
        <w:t>Add Title V Space Standards</w:t>
      </w:r>
      <w:r>
        <w:rPr>
          <w:rFonts w:asciiTheme="minorHAnsi" w:hAnsiTheme="minorHAnsi"/>
          <w:b/>
          <w:color w:val="FF0000"/>
        </w:rPr>
        <w:t>?</w:t>
      </w:r>
    </w:p>
    <w:p w:rsidR="00E228F9" w:rsidRDefault="00E228F9"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Default="001B4F65" w:rsidP="00E228F9"/>
    <w:p w:rsidR="001B4F65" w:rsidRPr="00E228F9" w:rsidRDefault="001B4F65" w:rsidP="00E228F9"/>
    <w:p w:rsidR="00D32976" w:rsidRDefault="00705C70" w:rsidP="00D32976">
      <w:pPr>
        <w:pStyle w:val="Heading2"/>
      </w:pPr>
      <w:r>
        <w:lastRenderedPageBreak/>
        <w:t>7.5</w:t>
      </w:r>
      <w:r w:rsidR="001B4F65">
        <w:tab/>
        <w:t>Glossary of terms</w:t>
      </w:r>
    </w:p>
    <w:p w:rsidR="00E228F9" w:rsidRDefault="00E228F9" w:rsidP="001B4F65">
      <w:pPr>
        <w:pStyle w:val="NoSpacing"/>
      </w:pPr>
    </w:p>
    <w:p w:rsidR="00502F71" w:rsidRPr="006766B7" w:rsidRDefault="006766B7" w:rsidP="001B4F65">
      <w:pPr>
        <w:pStyle w:val="NoSpacing"/>
        <w:rPr>
          <w:b/>
          <w:color w:val="008000"/>
        </w:rPr>
      </w:pPr>
      <w:r w:rsidRPr="006766B7">
        <w:rPr>
          <w:b/>
          <w:color w:val="008000"/>
        </w:rPr>
        <w:t>Assignable Square Footage (ASF)</w:t>
      </w:r>
    </w:p>
    <w:p w:rsidR="006766B7" w:rsidRDefault="006766B7" w:rsidP="001B4F65">
      <w:pPr>
        <w:pStyle w:val="NoSpacing"/>
      </w:pPr>
      <w:proofErr w:type="gramStart"/>
      <w:r>
        <w:t>A measure of “usable” square footage in a given facility that is typically measured by the area from within interior walls of a space.</w:t>
      </w:r>
      <w:proofErr w:type="gramEnd"/>
      <w:r>
        <w:t xml:space="preserve">  Excludes circulation, custodial, mechanical, </w:t>
      </w:r>
      <w:proofErr w:type="gramStart"/>
      <w:r>
        <w:t>electrical</w:t>
      </w:r>
      <w:proofErr w:type="gramEnd"/>
      <w:r>
        <w:t xml:space="preserve"> and restroom areas.</w:t>
      </w:r>
    </w:p>
    <w:p w:rsidR="006766B7" w:rsidRDefault="006766B7" w:rsidP="001B4F65">
      <w:pPr>
        <w:pStyle w:val="NoSpacing"/>
      </w:pPr>
    </w:p>
    <w:p w:rsidR="006766B7" w:rsidRDefault="006766B7" w:rsidP="001B4F65">
      <w:pPr>
        <w:pStyle w:val="NoSpacing"/>
        <w:rPr>
          <w:b/>
          <w:color w:val="008000"/>
        </w:rPr>
      </w:pPr>
      <w:r>
        <w:rPr>
          <w:b/>
          <w:color w:val="008000"/>
        </w:rPr>
        <w:t>Capacity Load Ratio</w:t>
      </w:r>
    </w:p>
    <w:p w:rsidR="006766B7" w:rsidRDefault="006766B7" w:rsidP="001B4F65">
      <w:pPr>
        <w:pStyle w:val="NoSpacing"/>
      </w:pPr>
      <w:r>
        <w:t xml:space="preserve">The relationship between the assignable space available for utilization and the efficiency level at which the space is being utilized.  </w:t>
      </w:r>
      <w:r w:rsidR="00224CDE">
        <w:t xml:space="preserve">There are five space categories for which the </w:t>
      </w:r>
      <w:r w:rsidR="00FB6DA3">
        <w:t>State</w:t>
      </w:r>
      <w:r w:rsidR="00224CDE">
        <w:t xml:space="preserve"> measures capacity load ratios: classroom (lecture), laboratory, office, library and audio visual/television/radio (AV/TV).</w:t>
      </w:r>
    </w:p>
    <w:p w:rsidR="00224CDE" w:rsidRDefault="00224CDE" w:rsidP="001B4F65">
      <w:pPr>
        <w:pStyle w:val="NoSpacing"/>
      </w:pPr>
    </w:p>
    <w:p w:rsidR="00D257F2" w:rsidRPr="00224CDE" w:rsidRDefault="00D257F2" w:rsidP="00D257F2">
      <w:pPr>
        <w:pStyle w:val="NoSpacing"/>
        <w:rPr>
          <w:b/>
          <w:color w:val="008000"/>
        </w:rPr>
      </w:pPr>
      <w:r w:rsidRPr="00224CDE">
        <w:rPr>
          <w:b/>
          <w:color w:val="008000"/>
        </w:rPr>
        <w:t>Economic Modeling Specialists International (EMSI)</w:t>
      </w:r>
    </w:p>
    <w:p w:rsidR="00D257F2" w:rsidRPr="00D257F2" w:rsidRDefault="00D257F2" w:rsidP="00D257F2">
      <w:pPr>
        <w:pStyle w:val="NoSpacing"/>
      </w:pPr>
      <w:proofErr w:type="gramStart"/>
      <w:r w:rsidRPr="00D257F2">
        <w:t>An online database that utilizes multiple sources to provide data regarding population demographics and various economic market trends by geographic locations.</w:t>
      </w:r>
      <w:proofErr w:type="gramEnd"/>
    </w:p>
    <w:p w:rsidR="00D257F2" w:rsidRDefault="00D257F2" w:rsidP="001B4F65">
      <w:pPr>
        <w:pStyle w:val="NoSpacing"/>
        <w:rPr>
          <w:b/>
          <w:color w:val="008000"/>
        </w:rPr>
      </w:pPr>
    </w:p>
    <w:p w:rsidR="00224CDE" w:rsidRPr="00224CDE" w:rsidRDefault="00224CDE" w:rsidP="001B4F65">
      <w:pPr>
        <w:pStyle w:val="NoSpacing"/>
        <w:rPr>
          <w:b/>
          <w:color w:val="008000"/>
        </w:rPr>
      </w:pPr>
      <w:r w:rsidRPr="00224CDE">
        <w:rPr>
          <w:b/>
          <w:color w:val="008000"/>
        </w:rPr>
        <w:t>Education Master Plan</w:t>
      </w:r>
      <w:r>
        <w:rPr>
          <w:b/>
          <w:color w:val="008000"/>
        </w:rPr>
        <w:t xml:space="preserve"> (EMP)</w:t>
      </w:r>
    </w:p>
    <w:p w:rsidR="00224CDE" w:rsidRDefault="00224CDE" w:rsidP="001B4F65">
      <w:pPr>
        <w:pStyle w:val="NoSpacing"/>
      </w:pPr>
      <w:proofErr w:type="gramStart"/>
      <w:r>
        <w:t>A College-wide plan that defines the educational goals of an institution.</w:t>
      </w:r>
      <w:proofErr w:type="gramEnd"/>
      <w:r>
        <w:t xml:space="preserve">  The plan precedes and guides other institutional planning documents.</w:t>
      </w:r>
    </w:p>
    <w:p w:rsidR="00224CDE" w:rsidRDefault="00224CDE" w:rsidP="001B4F65">
      <w:pPr>
        <w:pStyle w:val="NoSpacing"/>
      </w:pPr>
    </w:p>
    <w:p w:rsidR="00224CDE" w:rsidRPr="00224CDE" w:rsidRDefault="00224CDE" w:rsidP="001B4F65">
      <w:pPr>
        <w:pStyle w:val="NoSpacing"/>
        <w:rPr>
          <w:b/>
          <w:color w:val="008000"/>
        </w:rPr>
      </w:pPr>
      <w:r w:rsidRPr="00224CDE">
        <w:rPr>
          <w:b/>
          <w:color w:val="008000"/>
        </w:rPr>
        <w:t>Enrollment (Unduplicated)</w:t>
      </w:r>
    </w:p>
    <w:p w:rsidR="006766B7" w:rsidRDefault="00224CDE" w:rsidP="001B4F65">
      <w:pPr>
        <w:pStyle w:val="NoSpacing"/>
      </w:pPr>
      <w:r w:rsidRPr="00224CDE">
        <w:t>A student enrollment</w:t>
      </w:r>
      <w:r>
        <w:t xml:space="preserve"> count (also referred to as “headcount”) based on an individual student that identified a student only once in the system.</w:t>
      </w:r>
    </w:p>
    <w:p w:rsidR="00224CDE" w:rsidRDefault="00224CDE" w:rsidP="001B4F65">
      <w:pPr>
        <w:pStyle w:val="NoSpacing"/>
      </w:pPr>
    </w:p>
    <w:p w:rsidR="00224CDE" w:rsidRDefault="00D257F2" w:rsidP="001B4F65">
      <w:pPr>
        <w:pStyle w:val="NoSpacing"/>
        <w:rPr>
          <w:b/>
          <w:color w:val="008000"/>
        </w:rPr>
      </w:pPr>
      <w:r>
        <w:rPr>
          <w:b/>
          <w:color w:val="008000"/>
        </w:rPr>
        <w:t>Environmental Scan</w:t>
      </w:r>
    </w:p>
    <w:p w:rsidR="00D257F2" w:rsidRDefault="00D257F2" w:rsidP="001B4F65">
      <w:pPr>
        <w:pStyle w:val="NoSpacing"/>
      </w:pPr>
      <w:r>
        <w:t xml:space="preserve">An analysis that considers present and future factors that may influence the direction and goals of an institution.  </w:t>
      </w:r>
      <w:proofErr w:type="gramStart"/>
      <w:r>
        <w:t>May include external and internal elements that are evaluated for their potential impact on an institutions ability to serve its constituents.</w:t>
      </w:r>
      <w:proofErr w:type="gramEnd"/>
      <w:r>
        <w:t xml:space="preserve"> </w:t>
      </w:r>
    </w:p>
    <w:p w:rsidR="00D257F2" w:rsidRDefault="00D257F2" w:rsidP="001B4F65">
      <w:pPr>
        <w:pStyle w:val="NoSpacing"/>
      </w:pPr>
    </w:p>
    <w:p w:rsidR="00D257F2" w:rsidRDefault="00D257F2" w:rsidP="001B4F65">
      <w:pPr>
        <w:pStyle w:val="NoSpacing"/>
        <w:rPr>
          <w:b/>
          <w:color w:val="008000"/>
        </w:rPr>
      </w:pPr>
      <w:r w:rsidRPr="00D257F2">
        <w:rPr>
          <w:b/>
          <w:color w:val="008000"/>
        </w:rPr>
        <w:t>Full Time Equivalent Faculty</w:t>
      </w:r>
      <w:r>
        <w:rPr>
          <w:b/>
          <w:color w:val="008000"/>
        </w:rPr>
        <w:t xml:space="preserve"> (FTEF)</w:t>
      </w:r>
    </w:p>
    <w:p w:rsidR="00D257F2" w:rsidRPr="00D257F2" w:rsidRDefault="00D257F2" w:rsidP="001B4F65">
      <w:pPr>
        <w:pStyle w:val="NoSpacing"/>
      </w:pPr>
      <w:r>
        <w:t xml:space="preserve">A measure used to calculate the sum total of faculty resources (full-time and part-time combined) that equate to measurable units of 15 hours per week of “teaching time”.  </w:t>
      </w:r>
    </w:p>
    <w:p w:rsidR="00D257F2" w:rsidRDefault="00D257F2" w:rsidP="001B4F65">
      <w:pPr>
        <w:pStyle w:val="NoSpacing"/>
        <w:rPr>
          <w:b/>
          <w:color w:val="008000"/>
        </w:rPr>
      </w:pPr>
    </w:p>
    <w:p w:rsidR="00D257F2" w:rsidRDefault="00E80CA0" w:rsidP="001B4F65">
      <w:pPr>
        <w:pStyle w:val="NoSpacing"/>
        <w:rPr>
          <w:b/>
          <w:color w:val="008000"/>
        </w:rPr>
      </w:pPr>
      <w:r>
        <w:rPr>
          <w:b/>
          <w:color w:val="008000"/>
        </w:rPr>
        <w:t>Full Time Equivalent Student (FTES)</w:t>
      </w:r>
    </w:p>
    <w:p w:rsidR="00E80CA0" w:rsidRPr="00E80CA0" w:rsidRDefault="00E80CA0" w:rsidP="001B4F65">
      <w:pPr>
        <w:pStyle w:val="NoSpacing"/>
      </w:pPr>
      <w:r>
        <w:t xml:space="preserve">A measure used to calculate attendance accounting and student workload that represents 525 instructional contact hours in a full academic year (fall and spring terms).  </w:t>
      </w:r>
    </w:p>
    <w:p w:rsidR="00E80CA0" w:rsidRPr="00D257F2" w:rsidRDefault="00E80CA0" w:rsidP="001B4F65">
      <w:pPr>
        <w:pStyle w:val="NoSpacing"/>
        <w:rPr>
          <w:b/>
          <w:color w:val="008000"/>
        </w:rPr>
      </w:pPr>
    </w:p>
    <w:p w:rsidR="002C1B21" w:rsidRDefault="002C1B21" w:rsidP="001B4F65">
      <w:pPr>
        <w:pStyle w:val="NoSpacing"/>
        <w:rPr>
          <w:b/>
          <w:color w:val="008000"/>
        </w:rPr>
      </w:pPr>
      <w:r>
        <w:rPr>
          <w:b/>
          <w:color w:val="008000"/>
        </w:rPr>
        <w:t>Participation Rate</w:t>
      </w:r>
    </w:p>
    <w:p w:rsidR="002C1B21" w:rsidRPr="002C1B21" w:rsidRDefault="002C1B21" w:rsidP="002C1B21">
      <w:pPr>
        <w:contextualSpacing/>
        <w:rPr>
          <w:rFonts w:asciiTheme="minorHAnsi" w:hAnsiTheme="minorHAnsi"/>
        </w:rPr>
      </w:pPr>
      <w:r>
        <w:rPr>
          <w:rFonts w:asciiTheme="minorHAnsi" w:hAnsiTheme="minorHAnsi"/>
        </w:rPr>
        <w:t>T</w:t>
      </w:r>
      <w:r w:rsidRPr="002C1B21">
        <w:rPr>
          <w:rFonts w:asciiTheme="minorHAnsi" w:hAnsiTheme="minorHAnsi"/>
        </w:rPr>
        <w:t xml:space="preserve">he </w:t>
      </w:r>
      <w:r>
        <w:rPr>
          <w:rFonts w:asciiTheme="minorHAnsi" w:hAnsiTheme="minorHAnsi"/>
        </w:rPr>
        <w:t>number</w:t>
      </w:r>
      <w:r w:rsidRPr="002C1B21">
        <w:rPr>
          <w:rFonts w:asciiTheme="minorHAnsi" w:hAnsiTheme="minorHAnsi"/>
        </w:rPr>
        <w:t xml:space="preserve"> of </w:t>
      </w:r>
      <w:r>
        <w:rPr>
          <w:rFonts w:asciiTheme="minorHAnsi" w:hAnsiTheme="minorHAnsi"/>
        </w:rPr>
        <w:t xml:space="preserve">headcount </w:t>
      </w:r>
      <w:proofErr w:type="gramStart"/>
      <w:r>
        <w:rPr>
          <w:rFonts w:asciiTheme="minorHAnsi" w:hAnsiTheme="minorHAnsi"/>
        </w:rPr>
        <w:t>students’  a</w:t>
      </w:r>
      <w:proofErr w:type="gramEnd"/>
      <w:r w:rsidRPr="002C1B21">
        <w:rPr>
          <w:rFonts w:asciiTheme="minorHAnsi" w:hAnsiTheme="minorHAnsi"/>
        </w:rPr>
        <w:t xml:space="preserve"> </w:t>
      </w:r>
      <w:r>
        <w:rPr>
          <w:rFonts w:asciiTheme="minorHAnsi" w:hAnsiTheme="minorHAnsi"/>
        </w:rPr>
        <w:t>c</w:t>
      </w:r>
      <w:r w:rsidRPr="002C1B21">
        <w:rPr>
          <w:rFonts w:asciiTheme="minorHAnsi" w:hAnsiTheme="minorHAnsi"/>
        </w:rPr>
        <w:t xml:space="preserve">ollege </w:t>
      </w:r>
      <w:r>
        <w:rPr>
          <w:rFonts w:asciiTheme="minorHAnsi" w:hAnsiTheme="minorHAnsi"/>
        </w:rPr>
        <w:t>enrolls</w:t>
      </w:r>
      <w:r w:rsidRPr="002C1B21">
        <w:rPr>
          <w:rFonts w:asciiTheme="minorHAnsi" w:hAnsiTheme="minorHAnsi"/>
        </w:rPr>
        <w:t xml:space="preserve"> for every 1,000 persons within the service area population.</w:t>
      </w:r>
    </w:p>
    <w:p w:rsidR="00FC28E7" w:rsidRDefault="00FC28E7" w:rsidP="001B4F65">
      <w:pPr>
        <w:pStyle w:val="NoSpacing"/>
        <w:rPr>
          <w:b/>
          <w:color w:val="008000"/>
        </w:rPr>
      </w:pPr>
      <w:r>
        <w:rPr>
          <w:b/>
          <w:color w:val="008000"/>
        </w:rPr>
        <w:t>Regional Area</w:t>
      </w:r>
    </w:p>
    <w:p w:rsidR="00FC28E7" w:rsidRPr="00FC28E7" w:rsidRDefault="00FC28E7" w:rsidP="001B4F65">
      <w:pPr>
        <w:pStyle w:val="NoSpacing"/>
      </w:pPr>
      <w:proofErr w:type="gramStart"/>
      <w:r w:rsidRPr="00FC28E7">
        <w:t>The geographic boundary which an institution may consider the primary area of influence regarding student participation and employment opportunities for service area residents.</w:t>
      </w:r>
      <w:proofErr w:type="gramEnd"/>
      <w:r w:rsidRPr="00FC28E7">
        <w:t xml:space="preserve">  </w:t>
      </w:r>
      <w:proofErr w:type="gramStart"/>
      <w:r w:rsidRPr="00FC28E7">
        <w:t>Usually identified on a County level.</w:t>
      </w:r>
      <w:proofErr w:type="gramEnd"/>
      <w:r w:rsidRPr="00FC28E7">
        <w:t xml:space="preserve"> </w:t>
      </w:r>
    </w:p>
    <w:p w:rsidR="00FC28E7" w:rsidRDefault="00FC28E7" w:rsidP="001B4F65">
      <w:pPr>
        <w:pStyle w:val="NoSpacing"/>
        <w:rPr>
          <w:b/>
          <w:color w:val="008000"/>
        </w:rPr>
      </w:pPr>
    </w:p>
    <w:p w:rsidR="00D56D39" w:rsidRDefault="00D56D39" w:rsidP="001B4F65">
      <w:pPr>
        <w:pStyle w:val="NoSpacing"/>
        <w:rPr>
          <w:b/>
          <w:color w:val="008000"/>
        </w:rPr>
      </w:pPr>
    </w:p>
    <w:p w:rsidR="00D56D39" w:rsidRDefault="00D56D39" w:rsidP="001B4F65">
      <w:pPr>
        <w:pStyle w:val="NoSpacing"/>
        <w:rPr>
          <w:b/>
          <w:color w:val="008000"/>
        </w:rPr>
      </w:pPr>
    </w:p>
    <w:p w:rsidR="00224CDE" w:rsidRDefault="00E80CA0" w:rsidP="001B4F65">
      <w:pPr>
        <w:pStyle w:val="NoSpacing"/>
        <w:rPr>
          <w:b/>
          <w:color w:val="008000"/>
        </w:rPr>
      </w:pPr>
      <w:r>
        <w:rPr>
          <w:b/>
          <w:color w:val="008000"/>
        </w:rPr>
        <w:lastRenderedPageBreak/>
        <w:t>Retention</w:t>
      </w:r>
    </w:p>
    <w:p w:rsidR="00E80CA0" w:rsidRDefault="00E80CA0" w:rsidP="001B4F65">
      <w:pPr>
        <w:pStyle w:val="NoSpacing"/>
      </w:pPr>
      <w:r>
        <w:t>The number of student who received a grade within a course divided by the total number of student initially enrolled within the course.</w:t>
      </w:r>
    </w:p>
    <w:p w:rsidR="00E80CA0" w:rsidRDefault="00E80CA0" w:rsidP="001B4F65">
      <w:pPr>
        <w:pStyle w:val="NoSpacing"/>
      </w:pPr>
    </w:p>
    <w:p w:rsidR="00E80CA0" w:rsidRPr="00E80CA0" w:rsidRDefault="00E80CA0" w:rsidP="001B4F65">
      <w:pPr>
        <w:pStyle w:val="NoSpacing"/>
        <w:rPr>
          <w:b/>
          <w:color w:val="008000"/>
        </w:rPr>
      </w:pPr>
      <w:r w:rsidRPr="00E80CA0">
        <w:rPr>
          <w:b/>
          <w:color w:val="008000"/>
        </w:rPr>
        <w:t>Service Area</w:t>
      </w:r>
    </w:p>
    <w:p w:rsidR="00FC28E7" w:rsidRPr="00E80CA0" w:rsidRDefault="00FC28E7" w:rsidP="001B4F65">
      <w:pPr>
        <w:pStyle w:val="NoSpacing"/>
      </w:pPr>
      <w:proofErr w:type="gramStart"/>
      <w:r>
        <w:t>The geographic boundary from which an institution draws 90% or more of its enrollment.</w:t>
      </w:r>
      <w:proofErr w:type="gramEnd"/>
      <w:r>
        <w:t xml:space="preserve">  </w:t>
      </w:r>
      <w:proofErr w:type="gramStart"/>
      <w:r>
        <w:t>Usually identified by zip codes, cities, and/or census tract.</w:t>
      </w:r>
      <w:proofErr w:type="gramEnd"/>
    </w:p>
    <w:p w:rsidR="00E80CA0" w:rsidRDefault="00E80CA0" w:rsidP="001B4F65">
      <w:pPr>
        <w:pStyle w:val="NoSpacing"/>
        <w:rPr>
          <w:b/>
          <w:color w:val="008000"/>
        </w:rPr>
      </w:pPr>
    </w:p>
    <w:p w:rsidR="00FC28E7" w:rsidRDefault="00FC28E7" w:rsidP="001B4F65">
      <w:pPr>
        <w:pStyle w:val="NoSpacing"/>
        <w:rPr>
          <w:b/>
          <w:color w:val="008000"/>
        </w:rPr>
      </w:pPr>
      <w:r>
        <w:rPr>
          <w:b/>
          <w:color w:val="008000"/>
        </w:rPr>
        <w:t xml:space="preserve">Space </w:t>
      </w:r>
      <w:r w:rsidRPr="005444B2">
        <w:rPr>
          <w:b/>
          <w:color w:val="008000"/>
        </w:rPr>
        <w:t>Inventory</w:t>
      </w:r>
    </w:p>
    <w:p w:rsidR="00FC28E7" w:rsidRPr="00FC28E7" w:rsidRDefault="00FC28E7" w:rsidP="001B4F65">
      <w:pPr>
        <w:pStyle w:val="NoSpacing"/>
      </w:pPr>
      <w:proofErr w:type="gramStart"/>
      <w:r>
        <w:t>A record of buildings and space at an institution.</w:t>
      </w:r>
      <w:proofErr w:type="gramEnd"/>
      <w:r>
        <w:t xml:space="preserve">  Key components include buildings, room numbers, room use types, assignable square footage, gross square footage, taxonomy of program (TOP) codes and number of stations.</w:t>
      </w:r>
    </w:p>
    <w:p w:rsidR="00FC28E7" w:rsidRDefault="00FC28E7" w:rsidP="001B4F65">
      <w:pPr>
        <w:pStyle w:val="NoSpacing"/>
        <w:rPr>
          <w:b/>
          <w:color w:val="008000"/>
        </w:rPr>
      </w:pPr>
    </w:p>
    <w:p w:rsidR="006766B7" w:rsidRPr="006766B7" w:rsidRDefault="00FB6DA3" w:rsidP="001B4F65">
      <w:pPr>
        <w:pStyle w:val="NoSpacing"/>
        <w:rPr>
          <w:b/>
          <w:color w:val="008000"/>
        </w:rPr>
      </w:pPr>
      <w:r>
        <w:rPr>
          <w:b/>
          <w:color w:val="008000"/>
        </w:rPr>
        <w:t>State</w:t>
      </w:r>
      <w:r w:rsidR="006766B7" w:rsidRPr="006766B7">
        <w:rPr>
          <w:b/>
          <w:color w:val="008000"/>
        </w:rPr>
        <w:t xml:space="preserve"> Chancellor’s Office</w:t>
      </w:r>
    </w:p>
    <w:p w:rsidR="006766B7" w:rsidRDefault="006766B7" w:rsidP="001B4F65">
      <w:pPr>
        <w:pStyle w:val="NoSpacing"/>
      </w:pPr>
      <w:proofErr w:type="gramStart"/>
      <w:r>
        <w:t xml:space="preserve">The </w:t>
      </w:r>
      <w:r w:rsidR="00FB6DA3">
        <w:t>State</w:t>
      </w:r>
      <w:r>
        <w:t xml:space="preserve"> agency responsible for leadership, funding and technical assistance for the California Community College system.</w:t>
      </w:r>
      <w:proofErr w:type="gramEnd"/>
      <w:r>
        <w:t xml:space="preserve">  </w:t>
      </w:r>
    </w:p>
    <w:p w:rsidR="00FC28E7" w:rsidRDefault="00FC28E7" w:rsidP="001B4F65">
      <w:pPr>
        <w:pStyle w:val="NoSpacing"/>
      </w:pPr>
    </w:p>
    <w:p w:rsidR="00FC28E7" w:rsidRPr="00FC28E7" w:rsidRDefault="00FC28E7" w:rsidP="001B4F65">
      <w:pPr>
        <w:pStyle w:val="NoSpacing"/>
        <w:rPr>
          <w:b/>
          <w:color w:val="008000"/>
        </w:rPr>
      </w:pPr>
      <w:r w:rsidRPr="00FC28E7">
        <w:rPr>
          <w:b/>
          <w:color w:val="008000"/>
        </w:rPr>
        <w:t>Strategic Plan</w:t>
      </w:r>
    </w:p>
    <w:p w:rsidR="006766B7" w:rsidRDefault="00FC28E7" w:rsidP="001B4F65">
      <w:pPr>
        <w:pStyle w:val="NoSpacing"/>
      </w:pPr>
      <w:proofErr w:type="gramStart"/>
      <w:r>
        <w:t>An organizational plan which defines its overall strategy or direction</w:t>
      </w:r>
      <w:r w:rsidR="00184ED2">
        <w:t xml:space="preserve"> and process for making decisions regarding resource allocation.</w:t>
      </w:r>
      <w:proofErr w:type="gramEnd"/>
      <w:r w:rsidR="00184ED2">
        <w:t xml:space="preserve">  Typically, a strategic plan is used to guide divisional plans. </w:t>
      </w:r>
    </w:p>
    <w:p w:rsidR="006766B7" w:rsidRDefault="006766B7" w:rsidP="001B4F65">
      <w:pPr>
        <w:pStyle w:val="NoSpacing"/>
      </w:pPr>
    </w:p>
    <w:p w:rsidR="006766B7" w:rsidRPr="00184ED2" w:rsidRDefault="00184ED2" w:rsidP="001B4F65">
      <w:pPr>
        <w:pStyle w:val="NoSpacing"/>
        <w:rPr>
          <w:b/>
          <w:color w:val="008000"/>
        </w:rPr>
      </w:pPr>
      <w:r w:rsidRPr="00184ED2">
        <w:rPr>
          <w:b/>
          <w:color w:val="008000"/>
        </w:rPr>
        <w:t>Weekly Student Contact Hours (WSCH)</w:t>
      </w:r>
    </w:p>
    <w:p w:rsidR="001B4F65" w:rsidRDefault="00184ED2" w:rsidP="001B4F65">
      <w:pPr>
        <w:pStyle w:val="NoSpacing"/>
      </w:pPr>
      <w:r>
        <w:t>A measure of the number of students enrolled in a course multiplied by the number of hours the course meets per week.  A class that meets 3 hours per week and has 30 students generates 90 WSCH.  WSCH is utilized to report apportionment attendance.</w:t>
      </w:r>
    </w:p>
    <w:p w:rsidR="00184ED2" w:rsidRDefault="00184ED2" w:rsidP="001B4F65">
      <w:pPr>
        <w:pStyle w:val="NoSpacing"/>
      </w:pPr>
    </w:p>
    <w:p w:rsidR="00184ED2" w:rsidRPr="00184ED2" w:rsidRDefault="00184ED2" w:rsidP="001B4F65">
      <w:pPr>
        <w:pStyle w:val="NoSpacing"/>
        <w:rPr>
          <w:b/>
          <w:color w:val="008000"/>
        </w:rPr>
      </w:pPr>
      <w:r w:rsidRPr="00184ED2">
        <w:rPr>
          <w:b/>
          <w:color w:val="008000"/>
        </w:rPr>
        <w:t>WSCH/FTEF</w:t>
      </w:r>
    </w:p>
    <w:p w:rsidR="001B4F65" w:rsidRDefault="00184ED2" w:rsidP="001B4F65">
      <w:pPr>
        <w:pStyle w:val="NoSpacing"/>
      </w:pPr>
      <w:r>
        <w:t xml:space="preserve">A calculation, often referred to as “productivity”, is a ratio between a faculty’s hours of instruction per week (load) and the weekly contact hours (WSCH) of students enrolled </w:t>
      </w:r>
      <w:r w:rsidR="007A6E02">
        <w:t xml:space="preserve">in a course.  The </w:t>
      </w:r>
      <w:r w:rsidR="00FB6DA3">
        <w:t>State</w:t>
      </w:r>
      <w:r w:rsidR="007A6E02">
        <w:t xml:space="preserve"> productivity standard is 525 WSCH/FTEF.</w:t>
      </w: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7A6E02" w:rsidRDefault="007A6E02" w:rsidP="001B4F65">
      <w:pPr>
        <w:pStyle w:val="NoSpacing"/>
      </w:pPr>
    </w:p>
    <w:p w:rsidR="00E228F9" w:rsidRPr="001B4F65" w:rsidRDefault="00E228F9" w:rsidP="001B4F65">
      <w:pPr>
        <w:pStyle w:val="NoSpacing"/>
      </w:pPr>
    </w:p>
    <w:p w:rsidR="00A2697E" w:rsidRDefault="00A2697E" w:rsidP="00D56D39">
      <w:pPr>
        <w:pStyle w:val="Heading2"/>
        <w:ind w:left="0" w:firstLine="0"/>
        <w:sectPr w:rsidR="00A2697E" w:rsidSect="0032023F">
          <w:pgSz w:w="12240" w:h="15840"/>
          <w:pgMar w:top="1440" w:right="1440" w:bottom="1170" w:left="1440" w:header="720" w:footer="0" w:gutter="0"/>
          <w:pgNumType w:start="1"/>
          <w:cols w:space="720"/>
          <w:docGrid w:linePitch="299"/>
        </w:sectPr>
      </w:pPr>
    </w:p>
    <w:p w:rsidR="00705C70" w:rsidRDefault="00705C70" w:rsidP="00D56D39">
      <w:pPr>
        <w:pStyle w:val="Heading2"/>
        <w:ind w:left="0" w:firstLine="0"/>
      </w:pPr>
      <w:r>
        <w:lastRenderedPageBreak/>
        <w:t>7.</w:t>
      </w:r>
      <w:r w:rsidR="00E228F9">
        <w:t>6</w:t>
      </w:r>
      <w:r>
        <w:tab/>
        <w:t>Full listing of service area and regional job openings by occupation (2015 – 2025)</w:t>
      </w:r>
    </w:p>
    <w:p w:rsidR="00705C70" w:rsidRDefault="00705C70" w:rsidP="00705C70"/>
    <w:p w:rsidR="005444B2" w:rsidRDefault="005444B2" w:rsidP="005444B2">
      <w:pPr>
        <w:pStyle w:val="NoSpacing"/>
        <w:rPr>
          <w:b/>
          <w:color w:val="008000"/>
        </w:rPr>
      </w:pPr>
      <w:r w:rsidRPr="005444B2">
        <w:rPr>
          <w:b/>
          <w:color w:val="008000"/>
        </w:rPr>
        <w:t xml:space="preserve">Service Area Job Openings by Occupation </w:t>
      </w:r>
      <w:r w:rsidR="00C457CE">
        <w:rPr>
          <w:b/>
          <w:color w:val="008000"/>
        </w:rPr>
        <w:t xml:space="preserve">(2015 – 2025) </w:t>
      </w:r>
      <w:r w:rsidRPr="005444B2">
        <w:rPr>
          <w:b/>
          <w:color w:val="008000"/>
        </w:rPr>
        <w:t>– Related to Existing Programs</w:t>
      </w:r>
      <w:r w:rsidR="00193862">
        <w:rPr>
          <w:b/>
          <w:color w:val="008000"/>
        </w:rPr>
        <w:t xml:space="preserve"> (Grouped by Department)</w:t>
      </w:r>
    </w:p>
    <w:tbl>
      <w:tblPr>
        <w:tblW w:w="14227" w:type="dxa"/>
        <w:tblInd w:w="-252" w:type="dxa"/>
        <w:tblLook w:val="04A0" w:firstRow="1" w:lastRow="0" w:firstColumn="1" w:lastColumn="0" w:noHBand="0" w:noVBand="1"/>
      </w:tblPr>
      <w:tblGrid>
        <w:gridCol w:w="1186"/>
        <w:gridCol w:w="7094"/>
        <w:gridCol w:w="1076"/>
        <w:gridCol w:w="840"/>
        <w:gridCol w:w="820"/>
        <w:gridCol w:w="1138"/>
        <w:gridCol w:w="1080"/>
        <w:gridCol w:w="993"/>
      </w:tblGrid>
      <w:tr w:rsidR="00A2697E" w:rsidRPr="00193862" w:rsidTr="00193862">
        <w:trPr>
          <w:trHeight w:val="765"/>
        </w:trPr>
        <w:tc>
          <w:tcPr>
            <w:tcW w:w="118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Related Program</w:t>
            </w:r>
          </w:p>
        </w:tc>
        <w:tc>
          <w:tcPr>
            <w:tcW w:w="7094"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Description</w:t>
            </w:r>
          </w:p>
        </w:tc>
        <w:tc>
          <w:tcPr>
            <w:tcW w:w="1076"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Annual Openings</w:t>
            </w:r>
          </w:p>
        </w:tc>
        <w:tc>
          <w:tcPr>
            <w:tcW w:w="840"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2015 Jobs</w:t>
            </w:r>
          </w:p>
        </w:tc>
        <w:tc>
          <w:tcPr>
            <w:tcW w:w="820"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2025 Jobs</w:t>
            </w:r>
          </w:p>
        </w:tc>
        <w:tc>
          <w:tcPr>
            <w:tcW w:w="1138"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2015 - 2025 Change</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2015 - 2025 % Change</w:t>
            </w:r>
          </w:p>
        </w:tc>
        <w:tc>
          <w:tcPr>
            <w:tcW w:w="993" w:type="dxa"/>
            <w:tcBorders>
              <w:top w:val="single" w:sz="4" w:space="0" w:color="auto"/>
              <w:left w:val="nil"/>
              <w:bottom w:val="single" w:sz="4" w:space="0" w:color="auto"/>
              <w:right w:val="single" w:sz="4" w:space="0" w:color="auto"/>
            </w:tcBorders>
            <w:shd w:val="clear" w:color="000000" w:fill="76933C"/>
            <w:vAlign w:val="center"/>
            <w:hideMark/>
          </w:tcPr>
          <w:p w:rsidR="00A2697E" w:rsidRPr="00193862" w:rsidRDefault="00A2697E" w:rsidP="00A2697E">
            <w:pPr>
              <w:spacing w:after="0" w:line="240" w:lineRule="auto"/>
              <w:jc w:val="center"/>
              <w:rPr>
                <w:rFonts w:asciiTheme="minorHAnsi" w:eastAsia="Times New Roman" w:hAnsiTheme="minorHAnsi" w:cs="Times New Roman"/>
                <w:b/>
                <w:bCs/>
                <w:color w:val="FFFFFF"/>
              </w:rPr>
            </w:pPr>
            <w:r w:rsidRPr="00193862">
              <w:rPr>
                <w:rFonts w:asciiTheme="minorHAnsi" w:eastAsia="Times New Roman" w:hAnsiTheme="minorHAnsi" w:cs="Times New Roman"/>
                <w:b/>
                <w:bCs/>
                <w:color w:val="FFFFFF"/>
              </w:rPr>
              <w:t>Avg. Hourly Earnings</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Accountants and Auditors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1,305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1,545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$34.23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Budget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Credit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$35.26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Credit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$22.69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Financial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$41.07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Financial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724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$55.26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Financial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$24.79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Loan Officers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$37.55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Personal Financial Advisors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$39.64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Securities, Commodities, and Financial Services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$28.20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Tax Examiners and Collectors, and Revenue Agents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$34.20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Bill and Account Collectors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639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$16.65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Billing and Posting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991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1,223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$17.24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Bookkeeping, Accounting, and Auditing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2,301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2,689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$19.16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Brokerage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$22.03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Financial Clerks,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Loan Interviewers and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$19.56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New Accounts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$16.99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Payroll and Timekeeping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$19.71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Tax Preparers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$19.52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Tellers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774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857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$13.86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ANTHRO</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Anthropologists and Archeologists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$25.48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Art Directors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Fashion Designers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Graphic Designers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$21.61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Artists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$28.03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Fine Artists, Including Painters, Sculptors, and Illustrators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$38.23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Photographers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$21.81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Photographic Process Workers and Processing Machine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$14.25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Life, Physical, and Social Science Technicians,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Registered Nurses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281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6,351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7,762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1,411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$42.89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Biological Scientists,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Biological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$19.55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Biomedical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$45.28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Microbiologists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$35.30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Zoologists and Wildlife Biologists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Anesthesiologists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$112.61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Chiropractors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$43.66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Family and General Practitioners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$101.48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Internists, General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$85.37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Medical Scientists, Except Epidemiologists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$43.06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Obstetricians and Gynecologists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$114.76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Pediatricians, General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$89.70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Physicians and Surgeons,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$59.34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Surgeons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$103.78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Veterinarians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Veterinary Assistants and Laboratory Animal Caretakers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$13.93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Genetic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$31.43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Health Diagnosing and Treating Practitioners,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$32.16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Physician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$49.48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Nurse Anesthetists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47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62%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$68.89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Nurse Practitioners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276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377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101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$55.16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Licensed Practical and Licensed Vocational Nurses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104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1,788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2,314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526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$23.15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Nursing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157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2,818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3,741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923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$13.57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Paralegals and Legal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$24.15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Administrative Services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$39.84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Advertising and Promotions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$38.79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Chief Executives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$87.85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Compensation and Benefits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$57.20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Compensation, Benefits, and Job Analysis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$29.94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Compliance Officers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$33.94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Cost Estimators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$32.00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General and Operations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3,439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3,987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548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$51.27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Human Resources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$48.36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Human Resources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708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$28.26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Industrial Production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Insurance Underwriters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$28.34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Labor Relations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(10)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$32.48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Management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633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761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$39.21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Market Research Analysts and Marketing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612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$27.64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Marketing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$58.83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Operations Research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$41.45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Purchasing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$46.42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Training and Development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$49.76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Training and Development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Business Operations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1,270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1,391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Buyers and Purchasing Agents,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$37.68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Claims Adjusters, Examiners, and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(38)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Correspondence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$12.60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Court, Municipal, and License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$20.98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Executive Secretaries and Executive Administrative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891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943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File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$15.03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First-Line Supervisors of Office and Administrative Support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2,660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3,153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$25.42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Human Resources Assistants, Except Payroll and Timekeeping</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$18.38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Information and Record Clerks,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$18.61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Insurance Claims and Policy Processing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$16.46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Legal Secretaries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$17.52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Legal Support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$21.80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Managers,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$50.40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Office and Administrative Support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940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968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$13.19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Office Clerks, General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5,171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5,662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$14.59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Order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$16.58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Procurement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Production, Planning, and Expediting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$19.92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Receptionists and Information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1,831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2,198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$13.52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Secretaries and Admin. Assistants, Except Legal, Medical, and Executive</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3,292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3,790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Shipping, Receiving, and Traffic Clerks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1,560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1,795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$15.35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Transportation, Storage, and Distribution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$41.14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Education Administrators, Postsecondary</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$52.24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Preschool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$15.29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Career/Technical Education Teachers,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$32.82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Education Administrators,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$44.40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Education Administrators, Preschool and Childcare Center/Program</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$25.58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Elementary School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3,699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$35.22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Kindergarten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690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$31.37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Middle School Teachers, Except Special and Career/Technical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1,043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1,178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$35.01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Secondary School Teachers, Except Special and Career/Technical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1,584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1,703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$33.50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Special Education Teachers,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$37.61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Special Education Teachers, Kindergarten and Elementary 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$36.54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Special Education Teachers, Middle 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$31.84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Special Education Teachers, Preschool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$24.20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Special Education Teachers,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Substitute Teachers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3,023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$18.59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Teachers and Instructors,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677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$27.43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Childcare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1,487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1,633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$12.71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Self-Enrichment Education Teachers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$17.57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Education Administrators, Elementary and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$50.82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Teacher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3,027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$14.37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Agricultural and Food Science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$14.22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Chemical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$20.81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Chemical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$47.25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Chemists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Food Scientists and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$28.26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Forensic Science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$31.69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Pharmacists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758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$63.36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Fundraisers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$26.58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Public Relations and Fundraising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$45.68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Public Relations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$25.74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Radio and Television Announcers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$14.55</w:t>
            </w:r>
          </w:p>
        </w:tc>
      </w:tr>
      <w:tr w:rsidR="00A2697E" w:rsidRPr="00193862" w:rsidTr="00193862">
        <w:trPr>
          <w:trHeight w:val="70"/>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r w:rsidRPr="00193862">
              <w:rPr>
                <w:rFonts w:eastAsia="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r w:rsidRPr="00193862">
              <w:rPr>
                <w:rFonts w:eastAsia="Times New Roman"/>
              </w:rPr>
              <w:t>Reporters and Correspondents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proofErr w:type="spellStart"/>
            <w:r w:rsidRPr="00193862">
              <w:rPr>
                <w:rFonts w:eastAsia="Times New Roman"/>
              </w:rPr>
              <w:t>Insf</w:t>
            </w:r>
            <w:proofErr w:type="spellEnd"/>
            <w:r w:rsidRPr="00193862">
              <w:rPr>
                <w:rFonts w:eastAsia="Times New Roman"/>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r w:rsidRPr="00193862">
              <w:rPr>
                <w:rFonts w:eastAsia="Times New Roman"/>
              </w:rPr>
              <w:t>23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r w:rsidRPr="00193862">
              <w:rPr>
                <w:rFonts w:eastAsia="Times New Roman"/>
              </w:rPr>
              <w:t>&lt;10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proofErr w:type="spellStart"/>
            <w:r w:rsidRPr="00193862">
              <w:rPr>
                <w:rFonts w:eastAsia="Times New Roman"/>
              </w:rPr>
              <w:t>Insf</w:t>
            </w:r>
            <w:proofErr w:type="spellEnd"/>
            <w:r w:rsidRPr="00193862">
              <w:rPr>
                <w:rFonts w:eastAsia="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pStyle w:val="NoSpacing"/>
              <w:rPr>
                <w:rFonts w:eastAsia="Times New Roman"/>
              </w:rPr>
            </w:pPr>
            <w:proofErr w:type="spellStart"/>
            <w:r w:rsidRPr="00193862">
              <w:rPr>
                <w:rFonts w:eastAsia="Times New Roman"/>
              </w:rPr>
              <w:t>Insf</w:t>
            </w:r>
            <w:proofErr w:type="spellEnd"/>
            <w:r w:rsidRPr="00193862">
              <w:rPr>
                <w:rFonts w:eastAsia="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193862">
            <w:pPr>
              <w:pStyle w:val="NoSpacing"/>
              <w:jc w:val="center"/>
              <w:rPr>
                <w:rFonts w:eastAsia="Times New Roman"/>
              </w:rPr>
            </w:pPr>
            <w:r w:rsidRPr="00193862">
              <w:rPr>
                <w:rFonts w:eastAsia="Times New Roman"/>
              </w:rPr>
              <w:t>$18.80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Sales Reps., Wholesale and Manuf., Technical and Scientific Products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$34.33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Advertising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(21)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$20.00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Media and Communication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$18.77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Public Address System and Other Announcers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$15.46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Purchasing Agents, Except Wholesale, Retail, and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Sales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$13.94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Sales Representatives, Services,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1,118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1,300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$27.30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Sales Reps., Wholesale and Manuf., Except Technical and Scientific Products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1,550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1,904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$31.60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Wholesale and Retail Buyers, Except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154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185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31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rPr>
            </w:pPr>
            <w:r w:rsidRPr="00193862">
              <w:rPr>
                <w:rFonts w:asciiTheme="minorHAnsi" w:eastAsia="Times New Roman" w:hAnsiTheme="minorHAnsi" w:cs="Times New Roman"/>
              </w:rPr>
              <w:t>$29.82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Court Reporters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$40.78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Network Support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Web Developers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and Information Systems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$56.51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Network Architects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$50.81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Occupations,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$37.05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Programmers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$37.51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Systems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$37.39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Database Administrators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$40.61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Information Security Analysts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$46.32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Network and Computer Systems Administrators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Software Developers, Applications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Software Developers, Systems Software</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$50.40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and Information Research Scientists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$50.37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Operators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$19.30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Computer User Support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547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661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$25.70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DANCE</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Dancers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$14.22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ECON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Economists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$33.70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Police, Fire, and Ambulance Dispatchers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Emergency Medical Technicians and Paramedics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$14.83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Phlebotomists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$16.62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Editors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$21.84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Technical Writers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$38.10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Writers and Authors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Mechanical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Civil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$46.13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Electrical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$46.27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Electronics Engineers, Except Computer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Engineers,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$45.78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Materials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$42.80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Mechanical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$41.04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FIRE</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Firefighters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$28.34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 xml:space="preserve">Cartographers and </w:t>
            </w:r>
            <w:proofErr w:type="spellStart"/>
            <w:r w:rsidRPr="00193862">
              <w:rPr>
                <w:rFonts w:asciiTheme="minorHAnsi" w:eastAsia="Times New Roman" w:hAnsiTheme="minorHAnsi" w:cs="Times New Roman"/>
                <w:color w:val="auto"/>
              </w:rPr>
              <w:t>Photogrammetrists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$27.26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Surveying and Mapping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Environmental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$24.59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Environmental Science and Protection Technicians, Including Health</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$24.53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Forest and Conservation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(13)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$19.59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Conservation Scientists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$37.34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Environmental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$42.95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Environmental Scientists and Specialists, Including Health</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$38.30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Geoscientists, Except Hydrologists and Geographers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$37.18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Natural Sciences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$50.94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Forest and Conservation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$12.02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Audio-Visual and Multimedia Collections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$18.66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Librarians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$28.66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HIST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Library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$18.41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Physical Therapist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$29.93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Athletic Trainers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$20.90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$41.70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Fitness Trainers and Aerobics Instructors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$18.58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Physical Therapist Aides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$13.69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Massage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$20.21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MATH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Logisticians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169</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$36.57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MODLANG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Interpreters and Translators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104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$19.73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MUSIC</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Music Directors and Composers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$25.67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MUSIC</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Musicians and Singers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83</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$32.81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PHIL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Lawyers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$57.03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Aerospace Engineers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$44.98</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Physical Scientists,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$47.10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Occupational Therapy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$30.96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Child, Family, and School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$24.74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Mental Health and Substance Abuse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$22.82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Recreational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$33.96</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Social and Community Service Managers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$38.02</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Social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$28.79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Therapists,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$36.23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Clinical, Counseling, and School Psychologists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336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$41.40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Psychiatrists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$111.95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Social and Human Service Assistants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977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$15.63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Substance Abuse and Behavioral Disorder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$19.03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Community and Social Service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48</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$19.74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Counselors,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49</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$14.63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Educational, Guidance, School, and Vocational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544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594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$30.87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Healthcare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390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534</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144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$31.05</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Marriage and Family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Mental Health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258</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$20.37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Occupational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163</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$43.39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lastRenderedPageBreak/>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Psychologists,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$38.99</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Rehabilitation Counselors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18</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85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$16.50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RADIOL</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Radiologic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435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$30.33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Clergy</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130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165</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$28.91</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Directors, Religious Activities and Education</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6</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97</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$22.34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Religious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27</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$23.97</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RESP</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Respiratory Therapists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324</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380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56</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$32.00</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RESP</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Respiratory Therapy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$28.84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SOC</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Social Scientists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41</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42</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$35.64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Producers and Directors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40</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$32.93</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Costume Attendants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proofErr w:type="spellStart"/>
            <w:r w:rsidRPr="00193862">
              <w:rPr>
                <w:rFonts w:asciiTheme="minorHAnsi" w:eastAsia="Times New Roman" w:hAnsiTheme="minorHAnsi" w:cs="Times New Roman"/>
                <w:color w:val="auto"/>
              </w:rPr>
              <w:t>Insf</w:t>
            </w:r>
            <w:proofErr w:type="spellEnd"/>
            <w:r w:rsidRPr="00193862">
              <w:rPr>
                <w:rFonts w:asciiTheme="minorHAnsi" w:eastAsia="Times New Roman" w:hAnsiTheme="minorHAnsi" w:cs="Times New Roman"/>
                <w:color w:val="auto"/>
              </w:rPr>
              <w:t>. Data</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16</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$20.84</w:t>
            </w:r>
          </w:p>
        </w:tc>
      </w:tr>
      <w:tr w:rsidR="00A2697E" w:rsidRPr="00193862" w:rsidTr="00193862">
        <w:trPr>
          <w:trHeight w:val="255"/>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A2697E" w:rsidRPr="00193862" w:rsidRDefault="00A2697E" w:rsidP="00A2697E">
            <w:pPr>
              <w:spacing w:after="0" w:line="240" w:lineRule="auto"/>
              <w:rPr>
                <w:rFonts w:asciiTheme="minorHAnsi" w:eastAsia="Times New Roman" w:hAnsiTheme="minorHAnsi" w:cs="Times New Roman"/>
              </w:rPr>
            </w:pPr>
            <w:r w:rsidRPr="00193862">
              <w:rPr>
                <w:rFonts w:asciiTheme="minorHAnsi" w:eastAsia="Times New Roman" w:hAnsiTheme="minorHAns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rPr>
                <w:rFonts w:asciiTheme="minorHAnsi" w:eastAsia="Times New Roman" w:hAnsiTheme="minorHAnsi" w:cs="Times New Roman"/>
                <w:color w:val="auto"/>
              </w:rPr>
            </w:pPr>
            <w:r w:rsidRPr="00193862">
              <w:rPr>
                <w:rFonts w:asciiTheme="minorHAnsi" w:eastAsia="Times New Roman" w:hAnsiTheme="minorHAnsi" w:cs="Times New Roman"/>
                <w:color w:val="auto"/>
              </w:rPr>
              <w:t>Actors</w:t>
            </w:r>
          </w:p>
        </w:tc>
        <w:tc>
          <w:tcPr>
            <w:tcW w:w="1076"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5</w:t>
            </w:r>
          </w:p>
        </w:tc>
        <w:tc>
          <w:tcPr>
            <w:tcW w:w="84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125</w:t>
            </w:r>
          </w:p>
        </w:tc>
        <w:tc>
          <w:tcPr>
            <w:tcW w:w="82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128</w:t>
            </w:r>
          </w:p>
        </w:tc>
        <w:tc>
          <w:tcPr>
            <w:tcW w:w="1138"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A2697E" w:rsidRPr="00193862" w:rsidRDefault="00A2697E" w:rsidP="00A2697E">
            <w:pPr>
              <w:spacing w:after="0" w:line="240" w:lineRule="auto"/>
              <w:jc w:val="center"/>
              <w:rPr>
                <w:rFonts w:asciiTheme="minorHAnsi" w:eastAsia="Times New Roman" w:hAnsiTheme="minorHAnsi" w:cs="Times New Roman"/>
                <w:color w:val="auto"/>
              </w:rPr>
            </w:pPr>
            <w:r w:rsidRPr="00193862">
              <w:rPr>
                <w:rFonts w:asciiTheme="minorHAnsi" w:eastAsia="Times New Roman" w:hAnsiTheme="minorHAnsi" w:cs="Times New Roman"/>
                <w:color w:val="auto"/>
              </w:rPr>
              <w:t>$34.10</w:t>
            </w:r>
          </w:p>
        </w:tc>
      </w:tr>
    </w:tbl>
    <w:p w:rsidR="00A2697E" w:rsidRDefault="00A2697E"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p>
    <w:p w:rsidR="00193862" w:rsidRDefault="00193862" w:rsidP="005444B2">
      <w:pPr>
        <w:pStyle w:val="NoSpacing"/>
        <w:rPr>
          <w:b/>
          <w:color w:val="008000"/>
        </w:rPr>
      </w:pPr>
      <w:r>
        <w:rPr>
          <w:b/>
          <w:color w:val="008000"/>
        </w:rPr>
        <w:t xml:space="preserve">Regional </w:t>
      </w:r>
      <w:r w:rsidRPr="005444B2">
        <w:rPr>
          <w:b/>
          <w:color w:val="008000"/>
        </w:rPr>
        <w:t xml:space="preserve">Job Openings by Occupation </w:t>
      </w:r>
      <w:r w:rsidR="00C457CE">
        <w:rPr>
          <w:b/>
          <w:color w:val="008000"/>
        </w:rPr>
        <w:t xml:space="preserve">(2015 – 2025) </w:t>
      </w:r>
      <w:r w:rsidRPr="005444B2">
        <w:rPr>
          <w:b/>
          <w:color w:val="008000"/>
        </w:rPr>
        <w:t>– Related to Existing Programs</w:t>
      </w:r>
      <w:r>
        <w:rPr>
          <w:b/>
          <w:color w:val="008000"/>
        </w:rPr>
        <w:t xml:space="preserve"> (Grouped by Department)</w:t>
      </w:r>
    </w:p>
    <w:tbl>
      <w:tblPr>
        <w:tblW w:w="14223" w:type="dxa"/>
        <w:tblInd w:w="-252" w:type="dxa"/>
        <w:tblLook w:val="04A0" w:firstRow="1" w:lastRow="0" w:firstColumn="1" w:lastColumn="0" w:noHBand="0" w:noVBand="1"/>
      </w:tblPr>
      <w:tblGrid>
        <w:gridCol w:w="1186"/>
        <w:gridCol w:w="7094"/>
        <w:gridCol w:w="1076"/>
        <w:gridCol w:w="829"/>
        <w:gridCol w:w="829"/>
        <w:gridCol w:w="1136"/>
        <w:gridCol w:w="1080"/>
        <w:gridCol w:w="993"/>
      </w:tblGrid>
      <w:tr w:rsidR="001F7548" w:rsidRPr="001F7548" w:rsidTr="001F7548">
        <w:trPr>
          <w:trHeight w:val="900"/>
        </w:trPr>
        <w:tc>
          <w:tcPr>
            <w:tcW w:w="118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Related Program</w:t>
            </w:r>
          </w:p>
        </w:tc>
        <w:tc>
          <w:tcPr>
            <w:tcW w:w="7094"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Description</w:t>
            </w:r>
          </w:p>
        </w:tc>
        <w:tc>
          <w:tcPr>
            <w:tcW w:w="1076"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Annual Openings</w:t>
            </w:r>
          </w:p>
        </w:tc>
        <w:tc>
          <w:tcPr>
            <w:tcW w:w="829"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2015 Jobs</w:t>
            </w:r>
          </w:p>
        </w:tc>
        <w:tc>
          <w:tcPr>
            <w:tcW w:w="829"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2025 Jobs</w:t>
            </w:r>
          </w:p>
        </w:tc>
        <w:tc>
          <w:tcPr>
            <w:tcW w:w="1136"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2015 - 2025 Change</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2015 - 2025 % Change</w:t>
            </w:r>
          </w:p>
        </w:tc>
        <w:tc>
          <w:tcPr>
            <w:tcW w:w="993" w:type="dxa"/>
            <w:tcBorders>
              <w:top w:val="single" w:sz="4" w:space="0" w:color="auto"/>
              <w:left w:val="nil"/>
              <w:bottom w:val="single" w:sz="4" w:space="0" w:color="auto"/>
              <w:right w:val="single" w:sz="4" w:space="0" w:color="auto"/>
            </w:tcBorders>
            <w:shd w:val="clear" w:color="000000" w:fill="76933C"/>
            <w:vAlign w:val="center"/>
            <w:hideMark/>
          </w:tcPr>
          <w:p w:rsidR="001F7548" w:rsidRPr="001F7548" w:rsidRDefault="001F7548" w:rsidP="001F7548">
            <w:pPr>
              <w:spacing w:after="0" w:line="240" w:lineRule="auto"/>
              <w:jc w:val="center"/>
              <w:rPr>
                <w:rFonts w:ascii="Calibri" w:eastAsia="Times New Roman" w:hAnsi="Calibri" w:cs="Times New Roman"/>
                <w:b/>
                <w:bCs/>
                <w:color w:val="FFFFFF"/>
              </w:rPr>
            </w:pPr>
            <w:r w:rsidRPr="001F7548">
              <w:rPr>
                <w:rFonts w:ascii="Calibri" w:eastAsia="Times New Roman" w:hAnsi="Calibri" w:cs="Times New Roman"/>
                <w:b/>
                <w:bCs/>
                <w:color w:val="FFFFFF"/>
              </w:rPr>
              <w:t>Avg. Hourly Earnings</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Accountants and Auditors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7,554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9,014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1,460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$33.59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Actuaries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Budget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$31.37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Credit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$35.82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Credit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$23.03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Financial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$41.84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Financial Examiners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$36.53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Financial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4,426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$55.56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Financial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1,145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$25.26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Loan Officers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2,302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$38.47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Personal Financial Advisors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Securities, Commodities, and Financial Services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$29.56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Tax Examiners and Collectors, and Revenue Agents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$34.70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Bill and Account Collectors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4,136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$16.64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Billing and Posting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4,507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5,495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988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$17.05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Bookkeeping, Accounting, and Auditing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13,270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15,416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$19.07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Credit Authorizers, Checkers, and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$15.84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Financial Clerks,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$19.26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Loan Interviewers and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1,444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1,690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New Accounts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$17.47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Payroll and Timekeeping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2,173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Tax Preparers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774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$18.58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ACCT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Tellers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3,782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$14.22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ANTHRO</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Anthropologists and Archeologists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Camera and Photographic Equipment Repairers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$22.70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Art Directors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$41.39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Designers,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$24.51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Fashion Designers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$27.04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Film and Video Editors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$30.09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Graphic Designers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1,294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1,417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$21.91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Multimedia Artists and Animators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$30.38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Artists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$29.46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Craft Artists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$17.72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Etchers and Engravers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$12.34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Fine Artists, Including Painters, Sculptors, and Illustrators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Photographers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Photographic Process Workers and Processing Machine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$14.32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Epidemiologists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$27.71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Genetic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$31.19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Health Diagnosing and Treating Practitioners,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$32.72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Physician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947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$48.53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Nurse Anesthetists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172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62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$67.97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Nurse Midwives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49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$47.61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Nurse Practitioners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60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1,059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1,415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356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$54.25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Licensed Practical and Licensed Vocational Nurses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6,562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8,286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1,724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$23.06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Nursing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533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9,577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12,714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3,137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$13.61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Life, Physical, and Social Science Technicians,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$25.24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Veterinary Technologists and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$15.55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Registered Nurses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1,076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24,849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30,146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5,297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$43.04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Biological Scientists,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$33.76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Biological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Biomedical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$49.33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Life Scientists,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$44.98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Microbiologists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Zoologists and Wildlife Biologists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$32.75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Anesthesiologists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$109.78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Biochemists and Biophysicists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$74.00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Chiropractors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$46.94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Family and General Practitioners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1,684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$99.35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Internists, General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$83.69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Medical Scientists, Except Epidemiologists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825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Obstetricians and Gynecologists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$112.08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Pediatricians, General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$87.60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Physicians and Surgeons,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3,364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Surgeons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Veterinarians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$45.01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Veterinary Assistants and Laboratory Animal Caretakers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1,067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$13.86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Education Administrators, Postsecondary</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993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$51.87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Paralegals and Legal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2,106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$24.16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Administrative Services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2,343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2,698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$39.81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Advertising and Promotions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$40.36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Agents and Business Managers of Artists, Performers, and Athletes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$44.79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Chief Executives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2,114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$87.60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Compensation and Benefits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$57.47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Compensation, Benefits, and Job Analysis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$29.89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Compliance Officers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2,136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$34.45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Cost Estimators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General and Operations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20,281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23,346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3,065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$51.21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Human Resources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784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921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Human Resources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4,010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$28.35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Industrial Production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1,387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1,390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$47.19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Insurance Underwriters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Labor Relations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Management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4,600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853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$39.81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Market Research Analysts and Marketing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2,795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3,754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959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$27.93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Marketing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1,065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$59.22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Operations Research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Purchasing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Sales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$45.37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Sales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4,930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579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$53.83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Training and Development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$49.66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Training and Development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1,526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1,831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$27.13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Business Operations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7,344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672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Claims Adjusters, Examiners, and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2,283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2,373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$29.91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Court, Municipal, and License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1,048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1,195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$20.66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Executive Secretaries and Executive Administrative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5,337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$25.80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File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$14.90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First-Line Supervisors of Office and Administrative Support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607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14,391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16,735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2,344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$25.37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Human Resources Assistants, Except Payroll and Timekeeping</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1,464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$18.40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Information and Record Clerks,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1,189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$19.03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Insurance Claims and Policy Processing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2,344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$16.83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Insurance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3,171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$25.79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Legal Secretaries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$17.35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Legal Support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Managers,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1,891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2,089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$51.19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Office and Administrative Support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5,446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$13.21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Office Clerks, General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926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29,566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32,330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2,764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Order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3,146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3,396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$16.23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Procurement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782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$20.41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Production, Planning, and Expediting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3,049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3,417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$19.91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Receptionists and Information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8,579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10,048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1,469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$13.51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Secretaries and Administrative Assistants, Except Legal, Medical, and Executive</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17,907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20,732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2,825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$17.85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Shipping, Receiving, and Traffic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409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9,840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11,155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1,315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$15.24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BUSAD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Transportation, Storage, and Distribution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$41.14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Education Administrators, Elementary and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2,071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$50.61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Teacher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13,372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14,340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968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$14.32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Preschool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3,096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$14.84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Career/Technical Education Teachers, Middle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$26.31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Career/Technical Education Teachers,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$32.73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Education Administrators,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$44.21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Education Administrators, Preschool and Childcare Center/Program</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$24.86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Elementary School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16,400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18,248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1,848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$35.11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Kindergarten Teachers, Except Special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2,791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3,073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$31.23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Middle School Teachers, Except Special and Career/Technical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5,256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$34.91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Secondary School Teachers, Except Special and Career/Technical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7,592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$33.39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Special Education Teachers,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$37.83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Special Education Teachers, Kindergarten and Elementary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2,075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2,230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$36.49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Special Education Teachers, Middle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744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Special Education Teachers, Preschool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$24.60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Special Education Teachers, Secondary School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980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Substitute Teachers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13,120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13,766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$18.55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Teachers and Instructors,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3,035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$27.38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Childcare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6,822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$12.69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CD</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Self-Enrichment Education Teachers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53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1,286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1,569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283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rPr>
            </w:pPr>
            <w:r w:rsidRPr="001F7548">
              <w:rPr>
                <w:rFonts w:ascii="Calibri" w:eastAsia="Times New Roman" w:hAnsi="Calibri" w:cs="Times New Roman"/>
              </w:rPr>
              <w:t>$17.57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Agricultural and Food Science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$14.20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Chemical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Chemical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$48.16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Chemists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Food Scientists and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Forensic Science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CHEM</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Pharmacists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$63.40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Court Reporters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$39.87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Fundraisers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$27.41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Public Relations and Fundraising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$46.38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Public Relations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$26.17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Radio and Television Announcers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$14.29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Reporters and Correspondents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(39%)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Sales Reps, Wholesale and Manuf., Technical and Scientific Products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2,267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$34.07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Advertising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(65)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$21.56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Buyers and Purchasing Agents,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$38.30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Media and Communication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Public Address System and Other Announcers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$15.72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Purchasing Agents, Except Wholesale, Retail, and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2,176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$26.83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Sales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1,200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$13.90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Sales Representatives, Services,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7,053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8,187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1,134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$27.17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Pr>
                <w:rFonts w:ascii="Calibri" w:eastAsia="Times New Roman" w:hAnsi="Calibri" w:cs="Times New Roman"/>
                <w:color w:val="auto"/>
              </w:rPr>
              <w:t>Sales Rep</w:t>
            </w:r>
            <w:r w:rsidRPr="001F7548">
              <w:rPr>
                <w:rFonts w:ascii="Calibri" w:eastAsia="Times New Roman" w:hAnsi="Calibri" w:cs="Times New Roman"/>
                <w:color w:val="auto"/>
              </w:rPr>
              <w:t>s</w:t>
            </w:r>
            <w:r>
              <w:rPr>
                <w:rFonts w:ascii="Calibri" w:eastAsia="Times New Roman" w:hAnsi="Calibri" w:cs="Times New Roman"/>
                <w:color w:val="auto"/>
              </w:rPr>
              <w:t>.</w:t>
            </w:r>
            <w:r w:rsidRPr="001F7548">
              <w:rPr>
                <w:rFonts w:ascii="Calibri" w:eastAsia="Times New Roman" w:hAnsi="Calibri" w:cs="Times New Roman"/>
                <w:color w:val="auto"/>
              </w:rPr>
              <w:t>, Wholesale and Manuf</w:t>
            </w:r>
            <w:r>
              <w:rPr>
                <w:rFonts w:ascii="Calibri" w:eastAsia="Times New Roman" w:hAnsi="Calibri" w:cs="Times New Roman"/>
                <w:color w:val="auto"/>
              </w:rPr>
              <w:t>.</w:t>
            </w:r>
            <w:r w:rsidRPr="001F7548">
              <w:rPr>
                <w:rFonts w:ascii="Calibri" w:eastAsia="Times New Roman" w:hAnsi="Calibri" w:cs="Times New Roman"/>
                <w:color w:val="auto"/>
              </w:rPr>
              <w:t>, Except Technical and Scientific Products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14,587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COMMST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Wholesale and Retail Buyers, Except Farm Products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1,154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User Support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3,633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602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$25.42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Network Support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952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$31.60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Desktop Publishers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Web Developers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723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$30.68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and Information Systems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1,810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$56.21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Hardware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$53.75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Network Architects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$50.26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Occupations,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891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966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$38.03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Programmers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Systems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1,841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2,337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$36.96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Database Administrators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$40.40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Information Security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$46.05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Network and Computer Systems Administrators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1,937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2,232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$41.72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Software Developers, Applications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2,706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3,248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$48.03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Software Developers, Systems Software</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584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$49.71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and Information Research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$51.88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CS/CIT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Computer Operators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$19.28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DANCE</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Choreographers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$28.95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DANCE</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Dancers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$15.23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ECON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Economists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$34.11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Emergency Medical Technicians and Paramedics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2,550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$14.45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Phlebotomists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1,261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1,566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$16.74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Emergency Management Directors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$40.31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EMS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Police, Fire, and Ambulance Dispatchers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914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$24.71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Editors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$22.09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Proofreaders and Copy Markers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$23.17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Technical Writers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$38.17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Writers and Authors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$31.75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Civil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$29.56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Engineering Technicians, Except Drafters,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Mechanical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$22.17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Civil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2,557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2,717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$45.79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Electrical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$47.01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Electronics Engineers, Except Computer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1,081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$46.89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Engineers,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675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712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$46.74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Materials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$43.10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ENGR</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Mechanical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1,077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1,147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$41.45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FIRE</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Firefighters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3,534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3,852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$28.28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FIRE</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First-Line Supervisors of Fire Fighting and Prevention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$49.62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FIRE</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Fire Inspectors and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$34.51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GEOG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Forest and Conservation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676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(42)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$20.42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 xml:space="preserve">Cartographers and </w:t>
            </w:r>
            <w:proofErr w:type="spellStart"/>
            <w:r w:rsidRPr="001F7548">
              <w:rPr>
                <w:rFonts w:ascii="Calibri" w:eastAsia="Times New Roman" w:hAnsi="Calibri" w:cs="Times New Roman"/>
                <w:color w:val="auto"/>
              </w:rPr>
              <w:t>Photogrammetrists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$26.98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Foresters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$32.74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Soil and Plant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$31.92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Surveying and Mapping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Environmental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$24.64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Environmental Science and Protection Technicians, Including Health</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$24.43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Geological and Petroleum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Conservation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$38.06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Environmental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$43.20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Environmental Scientists and Specialists, Including Health</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1,334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1,499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$38.28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Geoscientists, Except Hydrologists and Geographers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$37.51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Mining and Geological Engineers, Including Mining Safety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$49.68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Natural Sciences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$52.77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GEOL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Forest and Conservation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$12.03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Curators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$24.77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Librarians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580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$28.58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Library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1,098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$18.37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Audio-Visual and Multimedia Collections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$18.64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Museum Technicians and Conservators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HIST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Library Assistants, Clerical</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968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1,121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$13.43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Massage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1,134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$20.61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Physical Therapist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$29.92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Athletic Trainers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$21.14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Coaches and Scouts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1,731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$17.64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Exercise Physiologists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$25.35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$41.69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Fitness Trainers and Aerobics Instructors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$19.34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KIN</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Physical Therapist Aides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$13.68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MATH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Mathematicians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$37.90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MATH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Statisticians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$32.10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MATH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Logisticians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1,172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$37.27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MATH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Statistical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$21.00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MODLANG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Interpreters and Translators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533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716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$20.28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MUSIC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Music Directors and Composers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$25.32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MUSIC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Musical Instrument Repairers and Tuners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MUSIC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Musicians and Singers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$33.49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PHIL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Judges, Magistrate Judges, and Magistrates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$99.89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PHIL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Judicial Law Clerks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$42.19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PHIL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Lawyers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3,008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$56.90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Aerospace Engineers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$46.42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Atmospheric and Space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$40.35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Materials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$40.79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Physical Scientists,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PHYSICS</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Physicists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$58.60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POLIT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Political Scientists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$36.67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POLIT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Broadcast News Analysts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$27.50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Community and Social Service Specialists,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895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1,071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$19.78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Counselors,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$14.50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Educational, Guidance, School, and Vocational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2,281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2,488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$30.89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Healthcare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1,458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1,957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499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$31.49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Marriage and Family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$24.36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Mental Health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1,151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1,324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Occupational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684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$43.48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Psychologists,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$40.64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Rehabilitation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$16.79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Occupational Therapy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69</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$31.02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Arbitrators, Mediators, and Conciliators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$35.67</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lastRenderedPageBreak/>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Child, Family, and School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1,436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1,641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$24.18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Mental Health and Substance Abuse Social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732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866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134</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$23.19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Recreational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$34.31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Social and Community Service Managers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855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$38.66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Social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1,278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1,369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$29.13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Therapists,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$36.26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Clinical, Counseling, and School Psychologists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1,371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1,522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$41.33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Psychiatrists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$111.56</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Community Health Workers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$21.44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Occupational Therapy Aides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$17.40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Social and Human Service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2,942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3,749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807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$15.89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PSYCH</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Substance Abuse and Behavioral Disorder Counselors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1,003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1,149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146</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$19.41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RADIOL</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Radiologic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1,345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1,715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$30.39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Clergy</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418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$28.04</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Directors, Religious Activities and Education</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336</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$21.39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RELIG</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Religious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$22.90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RESP</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Respiratory Therapists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1,247</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1,478</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$32.18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RESP</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Respiratory Therapy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77</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$29.12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SOC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Survey Researchers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28</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$24.15</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SOC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Social Science Research Assistants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45</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38%</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$22.21</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SOC</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Social Scientists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175</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$37.08</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Makeup Artists, Theatrical and Performance</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proofErr w:type="spellStart"/>
            <w:r w:rsidRPr="001F7548">
              <w:rPr>
                <w:rFonts w:ascii="Calibri" w:eastAsia="Times New Roman" w:hAnsi="Calibri" w:cs="Times New Roman"/>
                <w:color w:val="auto"/>
              </w:rPr>
              <w:t>Insf</w:t>
            </w:r>
            <w:proofErr w:type="spellEnd"/>
            <w:r w:rsidRPr="001F7548">
              <w:rPr>
                <w:rFonts w:ascii="Calibri" w:eastAsia="Times New Roman" w:hAnsi="Calibri" w:cs="Times New Roman"/>
                <w:color w:val="auto"/>
              </w:rPr>
              <w:t>. Data</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10%</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$31.42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Actors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614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609</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$35.70</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Producers and Directors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9</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204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212</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8</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$33.09</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Set and Exhibit Designers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51</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11%</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$22.92</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Costume Attendants</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66</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64</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$22.63</w:t>
            </w:r>
          </w:p>
        </w:tc>
      </w:tr>
      <w:tr w:rsidR="001F7548" w:rsidRPr="001F7548" w:rsidTr="001F7548">
        <w:trPr>
          <w:trHeight w:val="300"/>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1F7548" w:rsidRPr="001F7548" w:rsidRDefault="001F7548" w:rsidP="001F7548">
            <w:pPr>
              <w:spacing w:after="0" w:line="240" w:lineRule="auto"/>
              <w:rPr>
                <w:rFonts w:ascii="Calibri" w:eastAsia="Times New Roman" w:hAnsi="Calibri" w:cs="Times New Roman"/>
              </w:rPr>
            </w:pPr>
            <w:r w:rsidRPr="001F7548">
              <w:rPr>
                <w:rFonts w:ascii="Calibri" w:eastAsia="Times New Roman" w:hAnsi="Calibri" w:cs="Times New Roman"/>
              </w:rPr>
              <w:t>THART</w:t>
            </w:r>
          </w:p>
        </w:tc>
        <w:tc>
          <w:tcPr>
            <w:tcW w:w="7094"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rPr>
                <w:rFonts w:ascii="Calibri" w:eastAsia="Times New Roman" w:hAnsi="Calibri" w:cs="Times New Roman"/>
                <w:color w:val="auto"/>
              </w:rPr>
            </w:pPr>
            <w:r w:rsidRPr="001F7548">
              <w:rPr>
                <w:rFonts w:ascii="Calibri" w:eastAsia="Times New Roman" w:hAnsi="Calibri" w:cs="Times New Roman"/>
                <w:color w:val="auto"/>
              </w:rPr>
              <w:t>Entertainers and Performers, Sports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43</w:t>
            </w:r>
          </w:p>
        </w:tc>
        <w:tc>
          <w:tcPr>
            <w:tcW w:w="829"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50</w:t>
            </w:r>
          </w:p>
        </w:tc>
        <w:tc>
          <w:tcPr>
            <w:tcW w:w="1136"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7</w:t>
            </w:r>
          </w:p>
        </w:tc>
        <w:tc>
          <w:tcPr>
            <w:tcW w:w="1080"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16%</w:t>
            </w:r>
          </w:p>
        </w:tc>
        <w:tc>
          <w:tcPr>
            <w:tcW w:w="993" w:type="dxa"/>
            <w:tcBorders>
              <w:top w:val="nil"/>
              <w:left w:val="nil"/>
              <w:bottom w:val="single" w:sz="4" w:space="0" w:color="auto"/>
              <w:right w:val="single" w:sz="4" w:space="0" w:color="auto"/>
            </w:tcBorders>
            <w:shd w:val="clear" w:color="auto" w:fill="auto"/>
            <w:noWrap/>
            <w:vAlign w:val="center"/>
            <w:hideMark/>
          </w:tcPr>
          <w:p w:rsidR="001F7548" w:rsidRPr="001F7548" w:rsidRDefault="001F7548" w:rsidP="001F7548">
            <w:pPr>
              <w:spacing w:after="0" w:line="240" w:lineRule="auto"/>
              <w:jc w:val="center"/>
              <w:rPr>
                <w:rFonts w:ascii="Calibri" w:eastAsia="Times New Roman" w:hAnsi="Calibri" w:cs="Times New Roman"/>
                <w:color w:val="auto"/>
              </w:rPr>
            </w:pPr>
            <w:r w:rsidRPr="001F7548">
              <w:rPr>
                <w:rFonts w:ascii="Calibri" w:eastAsia="Times New Roman" w:hAnsi="Calibri" w:cs="Times New Roman"/>
                <w:color w:val="auto"/>
              </w:rPr>
              <w:t>$19.71</w:t>
            </w:r>
          </w:p>
        </w:tc>
      </w:tr>
    </w:tbl>
    <w:p w:rsidR="001F7548" w:rsidRDefault="001F7548" w:rsidP="005444B2">
      <w:pPr>
        <w:pStyle w:val="NoSpacing"/>
        <w:rPr>
          <w:b/>
          <w:color w:val="008000"/>
        </w:rPr>
      </w:pPr>
    </w:p>
    <w:p w:rsidR="001F7548" w:rsidRDefault="001F7548" w:rsidP="005444B2">
      <w:pPr>
        <w:pStyle w:val="NoSpacing"/>
        <w:rPr>
          <w:b/>
          <w:color w:val="008000"/>
        </w:rPr>
      </w:pPr>
    </w:p>
    <w:p w:rsidR="0076780D" w:rsidRDefault="0076780D" w:rsidP="005444B2">
      <w:pPr>
        <w:pStyle w:val="NoSpacing"/>
        <w:rPr>
          <w:b/>
          <w:color w:val="008000"/>
        </w:rPr>
      </w:pPr>
    </w:p>
    <w:p w:rsidR="00C457CE" w:rsidRDefault="00C457CE" w:rsidP="005444B2">
      <w:pPr>
        <w:pStyle w:val="NoSpacing"/>
        <w:rPr>
          <w:b/>
          <w:color w:val="008000"/>
        </w:rPr>
      </w:pPr>
      <w:r>
        <w:rPr>
          <w:b/>
          <w:color w:val="008000"/>
        </w:rPr>
        <w:t xml:space="preserve">Service Area </w:t>
      </w:r>
      <w:r w:rsidRPr="005444B2">
        <w:rPr>
          <w:b/>
          <w:color w:val="008000"/>
        </w:rPr>
        <w:t xml:space="preserve">Job Openings by Occupation </w:t>
      </w:r>
      <w:r>
        <w:rPr>
          <w:b/>
          <w:color w:val="008000"/>
        </w:rPr>
        <w:t xml:space="preserve">(2015 – 2025) </w:t>
      </w:r>
      <w:r w:rsidRPr="005444B2">
        <w:rPr>
          <w:b/>
          <w:color w:val="008000"/>
        </w:rPr>
        <w:t xml:space="preserve">– </w:t>
      </w:r>
      <w:r>
        <w:rPr>
          <w:b/>
          <w:color w:val="008000"/>
        </w:rPr>
        <w:t>Unrelated to Existing Programs</w:t>
      </w:r>
    </w:p>
    <w:tbl>
      <w:tblPr>
        <w:tblW w:w="14673" w:type="dxa"/>
        <w:tblInd w:w="-432" w:type="dxa"/>
        <w:tblLook w:val="04A0" w:firstRow="1" w:lastRow="0" w:firstColumn="1" w:lastColumn="0" w:noHBand="0" w:noVBand="1"/>
      </w:tblPr>
      <w:tblGrid>
        <w:gridCol w:w="8460"/>
        <w:gridCol w:w="1076"/>
        <w:gridCol w:w="960"/>
        <w:gridCol w:w="960"/>
        <w:gridCol w:w="1144"/>
        <w:gridCol w:w="1080"/>
        <w:gridCol w:w="993"/>
      </w:tblGrid>
      <w:tr w:rsidR="00C457CE" w:rsidRPr="00C457CE" w:rsidTr="00C457CE">
        <w:trPr>
          <w:trHeight w:val="900"/>
        </w:trPr>
        <w:tc>
          <w:tcPr>
            <w:tcW w:w="846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Description</w:t>
            </w:r>
          </w:p>
        </w:tc>
        <w:tc>
          <w:tcPr>
            <w:tcW w:w="1076"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Annual Openings</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2015 Jobs</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2025 Jobs</w:t>
            </w:r>
          </w:p>
        </w:tc>
        <w:tc>
          <w:tcPr>
            <w:tcW w:w="1144"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2015 - 2025 Change</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2015 - 2025 % Change</w:t>
            </w:r>
          </w:p>
        </w:tc>
        <w:tc>
          <w:tcPr>
            <w:tcW w:w="993" w:type="dxa"/>
            <w:tcBorders>
              <w:top w:val="single" w:sz="4" w:space="0" w:color="auto"/>
              <w:left w:val="nil"/>
              <w:bottom w:val="single" w:sz="4" w:space="0" w:color="auto"/>
              <w:right w:val="single" w:sz="4" w:space="0" w:color="auto"/>
            </w:tcBorders>
            <w:shd w:val="clear" w:color="000000" w:fill="76933C"/>
            <w:vAlign w:val="center"/>
            <w:hideMark/>
          </w:tcPr>
          <w:p w:rsidR="00C457CE" w:rsidRPr="00C457CE" w:rsidRDefault="00C457CE" w:rsidP="00C457CE">
            <w:pPr>
              <w:spacing w:after="0" w:line="240" w:lineRule="auto"/>
              <w:jc w:val="center"/>
              <w:rPr>
                <w:rFonts w:ascii="Calibri" w:eastAsia="Times New Roman" w:hAnsi="Calibri" w:cs="Times New Roman"/>
                <w:b/>
                <w:bCs/>
                <w:color w:val="FFFFFF"/>
              </w:rPr>
            </w:pPr>
            <w:r w:rsidRPr="00C457CE">
              <w:rPr>
                <w:rFonts w:ascii="Calibri" w:eastAsia="Times New Roman" w:hAnsi="Calibri" w:cs="Times New Roman"/>
                <w:b/>
                <w:bCs/>
                <w:color w:val="FFFFFF"/>
              </w:rPr>
              <w:t>Avg. Hourly Earnings</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Adhesive Bonding Machine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$17.16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Administrative Law Judges, Adjudicators, and Hearing Officers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$59.61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Adult Basic and Secondary Education and Literacy Teachers and Instructors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Agricultural Equipment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Agricultural Inspectors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$24.61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Agricultural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&lt;10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$14.37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Aircraft Mechanics and Service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$27.29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Airline Pilots, Copilots, and Flight Engineers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$54.30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Animal Control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$22.15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Appraisers and Assessors of Real E</w:t>
            </w:r>
            <w:r w:rsidR="00FB6DA3">
              <w:rPr>
                <w:rFonts w:ascii="Calibri" w:eastAsia="Times New Roman" w:hAnsi="Calibri" w:cs="Times New Roman"/>
              </w:rPr>
              <w:t>state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$34.10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Architects, Except Landscape and Naval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$44.68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Architectural and Civil Drafters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$28.33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Architectural and Engineering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$63.69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Assemblers and Fabricators,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Audio and Video Equipment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Automotive and Watercraft Service Attendants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Automotive Body and Related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Automotive Glass Installers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$14.46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Automotive Service Technicians and Mechanics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1,672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1,957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$19.81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Bakers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$12.43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Barbers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Boilermakers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proofErr w:type="spellStart"/>
            <w:r w:rsidRPr="00C457CE">
              <w:rPr>
                <w:rFonts w:ascii="Calibri" w:eastAsia="Times New Roman" w:hAnsi="Calibri" w:cs="Times New Roman"/>
              </w:rPr>
              <w:t>Brickmasons</w:t>
            </w:r>
            <w:proofErr w:type="spellEnd"/>
            <w:r w:rsidRPr="00C457CE">
              <w:rPr>
                <w:rFonts w:ascii="Calibri" w:eastAsia="Times New Roman" w:hAnsi="Calibri" w:cs="Times New Roman"/>
              </w:rPr>
              <w:t xml:space="preserve"> and </w:t>
            </w:r>
            <w:proofErr w:type="spellStart"/>
            <w:r w:rsidRPr="00C457CE">
              <w:rPr>
                <w:rFonts w:ascii="Calibri" w:eastAsia="Times New Roman" w:hAnsi="Calibri" w:cs="Times New Roman"/>
              </w:rPr>
              <w:t>Blockmasons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$25.60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Building Cleaning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$12.76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Bus and Truck Mechanics and Diesel Engine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855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Bus Drivers, School or Special Client</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1,178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Bus Drivers, Transit and Intercity</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$18.94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Butchers and Meat Cutters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$14.68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Cabinetmakers and Bench Carpenters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Cardiovascular Technologists and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$25.17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Cargo and Freight Agents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$18.67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Carpenters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1,371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1,335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$23.12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Carpet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$20.52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Cement Masons and Concrete Finishers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$22.73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Chefs and Head Cooks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Chemical Plant and System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&lt;10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$28.11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Civil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$30.31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Cleaning, Washing, and Metal Pickling Equipment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Coaches and Scouts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Coating, Painting, and Spraying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$16.79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Coin, Vending, and Amusement Machine Servicers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Commercial and Industrial Designers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$30.01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Commercial Pilots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$36.71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Community Health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$21.18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Computer Numerically Controlled Machine Tool Programmers,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$24.66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Computer, Automated Teller, and Office Machine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$17.69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Computer-Controlled Machine Tool Operators,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Concierges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Construction and Building Inspectors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Construction and Related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Construction Laborers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$20.11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Construction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$52.92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Continuous Mining Machine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$21.32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Control and Valve Installers and Repairers, Except Mechanical Door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$31.43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Conveyor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Cooks,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Cooks, Institution and Cafeteria</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$13.91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Cooks, Private Household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$21.09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Correctional Officers and Jailers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Counter and Rental Clerks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1,074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1,135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Couriers and Messengers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$12.75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Crane and Tower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$26.34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Credit Authorizers, Checkers, and Clerks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Crushing, Grinding, and Polishing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$17.90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Customer Service Representatives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2,683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3,256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$17.63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Cutting and Slicing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Cutting, Punching, and Press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Data Entry </w:t>
            </w:r>
            <w:proofErr w:type="spellStart"/>
            <w:r w:rsidRPr="00C457CE">
              <w:rPr>
                <w:rFonts w:ascii="Calibri" w:eastAsia="Times New Roman" w:hAnsi="Calibri" w:cs="Times New Roman"/>
              </w:rPr>
              <w:t>Keyers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$13.89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Demonstrators and Product Promoters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$13.23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Dental Assistants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985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Dental Hygienists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$41.96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Dental Laboratory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Dentists, General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$54.14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Detectives and Criminal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$44.92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Diagnostic Medical Sonographers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$34.01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Dietetic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$14.50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Dietitians and Nutritionists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$33.01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Dispatchers, Except Police, Fire, and Ambulance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$19.33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Drafters,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$25.11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Drilling and Boring Machine Tool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$13.70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Driver/Sales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$16.08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Drywall and Ceiling Tile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$27.15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Earth Drillers, Except Oil and Gas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Education, Training, and Library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$18.70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and Electronic Equipment Assemblers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and Electronics Drafters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$29.01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and Electronics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$29.08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and Electronics Repairers, Commercial and Industrial Equipment</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$28.12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and Electronics Repairers, Powerhouse, Substation, and Relay</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$38.71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Electrical Power-Line Installers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$44.53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660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$30.26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Electromechanical Equipment Assemblers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$14.13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Electronic Equipment Installers and Repairers, Motor Vehicles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Electronic Home Entertainment Equipment Installers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$22.27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Eligibility Interviewers, Government Programs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$20.10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Embalmers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&lt;10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$24.06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Engine and Other Machine Assemblers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$20.27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Engineering Technicians, Except Drafters,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$31.20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Excavating and Loading Machine and Dragline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$26.95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Extruding and Drawing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Extruding and Forming Machine Setters, Operators, and Tenders, Synthetic and Glass Fibers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Extruding, Forming, Pressing, and Compacting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Farmers, Ranchers, and Other Agricultural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$35.12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Farmworkers, Farm, Ranch, and </w:t>
            </w:r>
            <w:proofErr w:type="spellStart"/>
            <w:r w:rsidRPr="00C457CE">
              <w:rPr>
                <w:rFonts w:ascii="Calibri" w:eastAsia="Times New Roman" w:hAnsi="Calibri" w:cs="Times New Roman"/>
              </w:rPr>
              <w:t>Aquacultural</w:t>
            </w:r>
            <w:proofErr w:type="spellEnd"/>
            <w:r w:rsidRPr="00C457CE">
              <w:rPr>
                <w:rFonts w:ascii="Calibri" w:eastAsia="Times New Roman" w:hAnsi="Calibri" w:cs="Times New Roman"/>
              </w:rPr>
              <w:t xml:space="preserve"> Animals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$13.14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Fence Erectors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Fiberglass Laminators and Fabricators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Construction Trades and Extraction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$34.51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Correctional Officers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$45.64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Farming, Fishing, and Forestry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$19.18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Fire Fighting and Prevention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$49.71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Food Preparation and Serving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2,200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First-Line Supervisors of Helpers, Laborers, and Material Movers, Hand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Housekeeping and Janitorial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$17.96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First-Line Supervisors of Landscaping, Lawn Service, and </w:t>
            </w:r>
            <w:proofErr w:type="spellStart"/>
            <w:r w:rsidRPr="00C457CE">
              <w:rPr>
                <w:rFonts w:ascii="Calibri" w:eastAsia="Times New Roman" w:hAnsi="Calibri" w:cs="Times New Roman"/>
              </w:rPr>
              <w:t>Groundskeeping</w:t>
            </w:r>
            <w:proofErr w:type="spellEnd"/>
            <w:r w:rsidRPr="00C457CE">
              <w:rPr>
                <w:rFonts w:ascii="Calibri" w:eastAsia="Times New Roman" w:hAnsi="Calibri" w:cs="Times New Roman"/>
              </w:rPr>
              <w:t xml:space="preserve">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Mechanics, Installers,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648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$34.59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Non-Retail Sales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$29.98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Personal Service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$19.10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Police and Detectives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$59.82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Production and Operating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$25.92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Protective Service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$25.80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First-Line Supervisors of Retail Sales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2,354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First-Line Supervisors of Transportation </w:t>
            </w:r>
            <w:r w:rsidR="00C25C49">
              <w:rPr>
                <w:rFonts w:ascii="Calibri" w:eastAsia="Times New Roman" w:hAnsi="Calibri" w:cs="Times New Roman"/>
              </w:rPr>
              <w:t>and Material-Moving Machine/</w:t>
            </w:r>
            <w:r w:rsidRPr="00C457CE">
              <w:rPr>
                <w:rFonts w:ascii="Calibri" w:eastAsia="Times New Roman" w:hAnsi="Calibri" w:cs="Times New Roman"/>
              </w:rPr>
              <w:t>Vehicle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$27.41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Floor Layers, Except Carpet, Wood, and Hard Tiles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$16.20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Floral Designers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Food </w:t>
            </w:r>
            <w:proofErr w:type="spellStart"/>
            <w:r w:rsidRPr="00C457CE">
              <w:rPr>
                <w:rFonts w:ascii="Calibri" w:eastAsia="Times New Roman" w:hAnsi="Calibri" w:cs="Times New Roman"/>
              </w:rPr>
              <w:t>Batchmakers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Food Cooking Machine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$14.23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Food Processing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Food Service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$23.72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Forging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Foundry Mold and </w:t>
            </w:r>
            <w:proofErr w:type="spellStart"/>
            <w:r w:rsidRPr="00C457CE">
              <w:rPr>
                <w:rFonts w:ascii="Calibri" w:eastAsia="Times New Roman" w:hAnsi="Calibri" w:cs="Times New Roman"/>
              </w:rPr>
              <w:t>Coremakers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$13.12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Funeral Attendants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$14.34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Funeral Service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Furnace, Kiln, Oven, Drier, and Kettle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$15.07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Furniture Finishers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Cage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$12.58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Change Persons and Booth Cashiers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$12.18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Dealers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$12.23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Service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$13.93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Supervisors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$23.74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Gaming Surveillance Officers and Gaming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Gas Plant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$35.53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Glaziers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$29.99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Grinding and Polishing Workers, Hand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$13.82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Grinding, Lapping, Polishing, and Buffing Machine Tool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$14.32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Grounds Maintenance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$18.90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Hairdressers, Hairstylists, and Cosmetologists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Hazardous Materials Removal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Health and Safety Engineers, Except Mining Safety Engineers and Inspectors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$40.79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Health Educators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$24.92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Health Technologists and Technicians,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$21.03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Healthcare Practitioners and Technical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Healthcare Support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$16.80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Hearing Aid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$21.13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Heat Treating Equipment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Heating, Air Conditioning, and Refrigeration Mechanics and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$24.61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Heavy and Tractor-Trailer Truck Drivers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5,899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7,026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1,127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$23.17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 Construction Trades,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w:t>
            </w:r>
            <w:proofErr w:type="spellStart"/>
            <w:r w:rsidRPr="00C457CE">
              <w:rPr>
                <w:rFonts w:ascii="Calibri" w:eastAsia="Times New Roman" w:hAnsi="Calibri" w:cs="Times New Roman"/>
              </w:rPr>
              <w:t>Brickmasons</w:t>
            </w:r>
            <w:proofErr w:type="spellEnd"/>
            <w:r w:rsidRPr="00C457CE">
              <w:rPr>
                <w:rFonts w:ascii="Calibri" w:eastAsia="Times New Roman" w:hAnsi="Calibri" w:cs="Times New Roman"/>
              </w:rPr>
              <w:t xml:space="preserve">, </w:t>
            </w:r>
            <w:proofErr w:type="spellStart"/>
            <w:r w:rsidRPr="00C457CE">
              <w:rPr>
                <w:rFonts w:ascii="Calibri" w:eastAsia="Times New Roman" w:hAnsi="Calibri" w:cs="Times New Roman"/>
              </w:rPr>
              <w:t>Blockmasons</w:t>
            </w:r>
            <w:proofErr w:type="spellEnd"/>
            <w:r w:rsidRPr="00C457CE">
              <w:rPr>
                <w:rFonts w:ascii="Calibri" w:eastAsia="Times New Roman" w:hAnsi="Calibri" w:cs="Times New Roman"/>
              </w:rPr>
              <w:t>, Stonemasons, and Tile and Marble Setters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Helpers--Carpenters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Helpers--Electricians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$14.23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Helpers--Installation, Maintenance, and Repair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w:t>
            </w:r>
            <w:proofErr w:type="spellStart"/>
            <w:r w:rsidRPr="00C457CE">
              <w:rPr>
                <w:rFonts w:ascii="Calibri" w:eastAsia="Times New Roman" w:hAnsi="Calibri" w:cs="Times New Roman"/>
              </w:rPr>
              <w:t>Pipelayers</w:t>
            </w:r>
            <w:proofErr w:type="spellEnd"/>
            <w:r w:rsidRPr="00C457CE">
              <w:rPr>
                <w:rFonts w:ascii="Calibri" w:eastAsia="Times New Roman" w:hAnsi="Calibri" w:cs="Times New Roman"/>
              </w:rPr>
              <w:t>, Plumbers, Pipefitters, and Steamfitters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$15.30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Helpers--Roofers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$12.70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Highway Maintenance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$23.63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Home Appliance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$23.35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Home Health Aides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2,047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Industrial Engineering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$24.32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Industrial Engineers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$37.12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Industrial Machinery Mechanics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Industrial Truck and Tractor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2,234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$15.94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Inspectors, Testers, Sorters, Samplers, and </w:t>
            </w:r>
            <w:proofErr w:type="spellStart"/>
            <w:r w:rsidRPr="00C457CE">
              <w:rPr>
                <w:rFonts w:ascii="Calibri" w:eastAsia="Times New Roman" w:hAnsi="Calibri" w:cs="Times New Roman"/>
              </w:rPr>
              <w:t>Weighers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Installation, Maintenance, and Repair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$18.22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Instructional Coordinators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$36.52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Insulation Workers, Floor, Ceiling, and Wall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$30.86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Insurance Appraisers, Auto Damage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$25.02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Insurance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647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$24.81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Interior Designers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$24.95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Interviewers, Except Eligibility and Loan</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$18.78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Janitors and Cleaners, Except Maids and Housekeeping Cleaners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3,598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4,040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Jewelers and Precious Stone and Metal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$16.82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Laborers and Freight, Stock, and Material Movers, Hand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7,866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9,675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1,809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Landscape Architects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$37.61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Landscaping and </w:t>
            </w:r>
            <w:proofErr w:type="spellStart"/>
            <w:r w:rsidRPr="00C457CE">
              <w:rPr>
                <w:rFonts w:ascii="Calibri" w:eastAsia="Times New Roman" w:hAnsi="Calibri" w:cs="Times New Roman"/>
              </w:rPr>
              <w:t>Groundskeeping</w:t>
            </w:r>
            <w:proofErr w:type="spellEnd"/>
            <w:r w:rsidRPr="00C457CE">
              <w:rPr>
                <w:rFonts w:ascii="Calibri" w:eastAsia="Times New Roman" w:hAnsi="Calibri" w:cs="Times New Roman"/>
              </w:rPr>
              <w:t xml:space="preserve">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2,099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Lathe and Turning Machine Tool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Laundry and Dry-Cleaning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$12.18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Legislators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$25.02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Library Assistants, Clerical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Light Truck or Delivery Services Drivers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1,564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$19.24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Locksmiths and Safe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$25.13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Lodging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$23.45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Machine Feeders and </w:t>
            </w:r>
            <w:proofErr w:type="spellStart"/>
            <w:r w:rsidRPr="00C457CE">
              <w:rPr>
                <w:rFonts w:ascii="Calibri" w:eastAsia="Times New Roman" w:hAnsi="Calibri" w:cs="Times New Roman"/>
              </w:rPr>
              <w:t>Offbearers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Machinists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$17.21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Magnetic Resonance Imaging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$36.78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Mail Clerks and Mail Machine Operators, Except Postal Service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$13.68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Maintenance and Repair Workers, General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2,225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$18.74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Maintenance Workers, Machinery</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$21.64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Material Moving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Mechanical Door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$21.77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Mechanical Drafters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$25.72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Media and Communication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$18.77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and Clinical Laboratory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$19.56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and Clinical Laboratory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$33.06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and Health Services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$57.93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Appliance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$20.99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Assistants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1,956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2,446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$14.11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Equipment Preparers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$19.97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Equipment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$26.80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Records and Health Information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$21.76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Secretaries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Medical Transcriptionists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$23.08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Meeting, Convention, and Event Planners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$19.94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Merchandise Displayers and Window Trimmers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Metal Workers and Plastic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Metal-Refining Furnace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$17.71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Meter Readers, Utilities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$22.69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Milling and </w:t>
            </w:r>
            <w:proofErr w:type="spellStart"/>
            <w:r w:rsidRPr="00C457CE">
              <w:rPr>
                <w:rFonts w:ascii="Calibri" w:eastAsia="Times New Roman" w:hAnsi="Calibri" w:cs="Times New Roman"/>
              </w:rPr>
              <w:t>Planing</w:t>
            </w:r>
            <w:proofErr w:type="spellEnd"/>
            <w:r w:rsidRPr="00C457CE">
              <w:rPr>
                <w:rFonts w:ascii="Calibri" w:eastAsia="Times New Roman" w:hAnsi="Calibri" w:cs="Times New Roman"/>
              </w:rPr>
              <w:t xml:space="preserve">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Millwrights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$21.87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Mixing and Blending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$15.14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Mobile Heavy Equipment Mechanics, Except Engines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$26.22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Molders, Shapers, and Casters, Except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$16.15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Molding, </w:t>
            </w:r>
            <w:proofErr w:type="spellStart"/>
            <w:r w:rsidRPr="00C457CE">
              <w:rPr>
                <w:rFonts w:ascii="Calibri" w:eastAsia="Times New Roman" w:hAnsi="Calibri" w:cs="Times New Roman"/>
              </w:rPr>
              <w:t>Coremaking</w:t>
            </w:r>
            <w:proofErr w:type="spellEnd"/>
            <w:r w:rsidRPr="00C457CE">
              <w:rPr>
                <w:rFonts w:ascii="Calibri" w:eastAsia="Times New Roman" w:hAnsi="Calibri" w:cs="Times New Roman"/>
              </w:rPr>
              <w:t>, and Casting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$14.90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Morticians, Undertakers, and Funeral Directors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$38.06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Motor Vehicle Operators,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$15.35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Motorboat Mechanics and Service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$18.13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Motorcycle Mechanics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$24.26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Multiple Machine Tool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$15.70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Nuclear Medicine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$46.27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Occupational Health and Safety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$34.87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Office Machine Operators, Except Computer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$17.06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Operating Engineers and Other Construction Equipment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$31.28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Ophthalmic Laboratory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$13.53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Ophthalmic Medical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Opticians, Dispensing</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Optometrists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$52.35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Orderlies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Outdoor Power Equipment and Other Small Engine Mechanics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$16.11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Packaging and Filling Machine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654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$13.62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Packers and Packagers, Hand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2,003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2,406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Painters, Construction and Maintenance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$21.46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Painters, Transportation Equipment</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Painting, Coating, and Decorating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Paper Goods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$18.64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Parts Salespersons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684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$18.16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Paving, Surfacing, and Tamping Equipment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$30.67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Pest Control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Petroleum Pump System Operators, Refinery Operators, and </w:t>
            </w:r>
            <w:proofErr w:type="spellStart"/>
            <w:r w:rsidRPr="00C457CE">
              <w:rPr>
                <w:rFonts w:ascii="Calibri" w:eastAsia="Times New Roman" w:hAnsi="Calibri" w:cs="Times New Roman"/>
              </w:rPr>
              <w:t>Gaugers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$33.78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Pharmacy Aides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Pharmacy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707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900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$17.98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proofErr w:type="spellStart"/>
            <w:r w:rsidRPr="00C457CE">
              <w:rPr>
                <w:rFonts w:ascii="Calibri" w:eastAsia="Times New Roman" w:hAnsi="Calibri" w:cs="Times New Roman"/>
              </w:rPr>
              <w:t>Pipelayers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$25.70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Plant and System Operators,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$25.20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Plasterers and Stucco Masons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$19.03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Plating and Coating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Plumbers, Pipefitters, and Steamfitters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$23.72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Podiatrists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$71.57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Police and Sheriff's Patrol Officers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$42.28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Postal Service Clerks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$25.38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Postal Service Mail Carriers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(140)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$25.62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Postal Service Mail Sorters, Processors, and Processing Machine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$23.00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Postmasters and Mail Superintendents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$37.62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Postsecondary Teachers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2,874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3,461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$41.67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Pourers and Casters, Metal</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$14.60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Power Distributors and Dispatchers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$41.38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Power Plant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$31.37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Precision Instrument and Equipment Repairers,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$25.75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Prepress Technicians and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$17.42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Print Binding and Finishing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$16.53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Printing Press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$17.04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Private Detectives and Investigators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Probation Officers and Correctional Treatment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$40.10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Production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$13.88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Property, Real E</w:t>
            </w:r>
            <w:r w:rsidR="00FB6DA3">
              <w:rPr>
                <w:rFonts w:ascii="Calibri" w:eastAsia="Times New Roman" w:hAnsi="Calibri" w:cs="Times New Roman"/>
              </w:rPr>
              <w:t>state</w:t>
            </w:r>
            <w:r w:rsidRPr="00C457CE">
              <w:rPr>
                <w:rFonts w:ascii="Calibri" w:eastAsia="Times New Roman" w:hAnsi="Calibri" w:cs="Times New Roman"/>
              </w:rPr>
              <w:t>, and Community Association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$29.81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Protective Service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Psychiatric Aides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$13.30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Psychiatric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$27.32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Radiation Therapists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Radio, Cellular, and Tower Equipment Installers and Repairs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$23.59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Rail Car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$16.96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Real E</w:t>
            </w:r>
            <w:r w:rsidR="00FB6DA3">
              <w:rPr>
                <w:rFonts w:ascii="Calibri" w:eastAsia="Times New Roman" w:hAnsi="Calibri" w:cs="Times New Roman"/>
              </w:rPr>
              <w:t>state</w:t>
            </w:r>
            <w:r w:rsidRPr="00C457CE">
              <w:rPr>
                <w:rFonts w:ascii="Calibri" w:eastAsia="Times New Roman" w:hAnsi="Calibri" w:cs="Times New Roman"/>
              </w:rPr>
              <w:t xml:space="preserve"> Brokers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Real E</w:t>
            </w:r>
            <w:r w:rsidR="00FB6DA3">
              <w:rPr>
                <w:rFonts w:ascii="Calibri" w:eastAsia="Times New Roman" w:hAnsi="Calibri" w:cs="Times New Roman"/>
              </w:rPr>
              <w:t>state</w:t>
            </w:r>
            <w:r w:rsidRPr="00C457CE">
              <w:rPr>
                <w:rFonts w:ascii="Calibri" w:eastAsia="Times New Roman" w:hAnsi="Calibri" w:cs="Times New Roman"/>
              </w:rPr>
              <w:t xml:space="preserve"> Sales Agents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Recreation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943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$12.18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Recreational Vehicle Service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$20.24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Refuse and Recyclable Material Collectors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Reinforcing Iron and Rebar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$28.47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Reservation and Transportation Ticket Agents and Travel Clerks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Residential Advisors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$16.72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Retail Salespersons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7,916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9,852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1,936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$12.49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Rolling Machine Setters, Operators, and Tenders, Metal and Plastic</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$16.62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Roofers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$20.56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Roustabouts, Oil and Gas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$20.44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Sales Engineers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$46.20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Sales Managers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708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Sawing Machine Setters, Operators, and Tenders, Wood</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$14.02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Security and Fire Alarm Systems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$24.38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Security Guards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1,848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2,058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$12.66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Semiconductor Processors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&lt;10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&lt;10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$16.68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Separating, Filtering, Clarifying, Precipitating, and Still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$15.44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Septic Tank Servicers and Sewer Pipe Cleaners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$24.10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Sheet Metal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Skincare Specialists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$14.42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Slot Supervisors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$22.00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Solar Photovoltaic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$24.15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Speech-Language Pathologists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$38.58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Stationary Engineers and Boiler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$29.89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Stock Clerks and Order Fillers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5,050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5,828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778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Stonemasons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$18.43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Structural Iron and Steel Workers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$33.40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Structural Metal Fabricators and Fitters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$16.22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Surgical Technologists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$23.48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Surveyors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$34.73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Switchboard Operators, Including Answering Service</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Tailors, Dressmakers, and Custom Sewers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lastRenderedPageBreak/>
              <w:t>Tapers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(47%)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$24.19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Taxi Drivers and Chauffeurs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$12.28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Team Assemblers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Telecommunications Equipment Installers and Repairers, Except Line Installers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$29.25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Telecommunications Line Installers and Repairers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122</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$26.51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Telemarketers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Telephone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$20.09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Terrazzo Workers and Finishers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$22.62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Tile and Marble Setters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115</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$21.59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Tire Repairers and Changers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429</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$12.98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Title Examiners, Abstractors, and Searchers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$27.39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Tool and Die Makers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$23.68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Tour Guides and Escorts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$12.63</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Transportation Inspectors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$23.59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Transportation Security Screeners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74</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$19.36</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Transportation Workers, All Other</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Travel Agents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$14.77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Tree Trimmers and Pruners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93</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$14.85</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Umpires, Referees, and Other Sports Officials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$13.80</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Upholsterers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115</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$15.64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Urban and Regional Planners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$38.29</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Veterinary Technologists and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96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120</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$15.61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Water and Wastewater Treatment Plant and System Operators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78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$31.21</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proofErr w:type="spellStart"/>
            <w:r w:rsidRPr="00C457CE">
              <w:rPr>
                <w:rFonts w:ascii="Calibri" w:eastAsia="Times New Roman" w:hAnsi="Calibri" w:cs="Times New Roman"/>
              </w:rPr>
              <w:t>Weighers</w:t>
            </w:r>
            <w:proofErr w:type="spellEnd"/>
            <w:r w:rsidRPr="00C457CE">
              <w:rPr>
                <w:rFonts w:ascii="Calibri" w:eastAsia="Times New Roman" w:hAnsi="Calibri" w:cs="Times New Roman"/>
              </w:rPr>
              <w:t>, Measurers, Checkers, and Samplers, Recordkeeping</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236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281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$13.57</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 xml:space="preserve">Welders, Cutters, </w:t>
            </w:r>
            <w:proofErr w:type="spellStart"/>
            <w:r w:rsidRPr="00C457CE">
              <w:rPr>
                <w:rFonts w:ascii="Calibri" w:eastAsia="Times New Roman" w:hAnsi="Calibri" w:cs="Times New Roman"/>
              </w:rPr>
              <w:t>Solderers</w:t>
            </w:r>
            <w:proofErr w:type="spellEnd"/>
            <w:r w:rsidRPr="00C457CE">
              <w:rPr>
                <w:rFonts w:ascii="Calibri" w:eastAsia="Times New Roman" w:hAnsi="Calibri" w:cs="Times New Roman"/>
              </w:rPr>
              <w:t xml:space="preserve">, and </w:t>
            </w:r>
            <w:proofErr w:type="spellStart"/>
            <w:r w:rsidRPr="00C457CE">
              <w:rPr>
                <w:rFonts w:ascii="Calibri" w:eastAsia="Times New Roman" w:hAnsi="Calibri" w:cs="Times New Roman"/>
              </w:rPr>
              <w:t>Brazers</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426</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(60)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$17.54</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Welding, Soldering, and Brazing Machine Setters, Operators, and Tenders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34</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$15.38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Wind Turbine Service Technicians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$25.22</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Woodworking Machine Setters, Operators, and Tenders, Except Sawing</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186</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217</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31</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$12.88</w:t>
            </w:r>
          </w:p>
        </w:tc>
      </w:tr>
      <w:tr w:rsidR="00C457CE" w:rsidRPr="00C457CE" w:rsidTr="00C457CE">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rPr>
                <w:rFonts w:ascii="Calibri" w:eastAsia="Times New Roman" w:hAnsi="Calibri" w:cs="Times New Roman"/>
              </w:rPr>
            </w:pPr>
            <w:r w:rsidRPr="00C457CE">
              <w:rPr>
                <w:rFonts w:ascii="Calibri" w:eastAsia="Times New Roman" w:hAnsi="Calibri" w:cs="Times New Roman"/>
              </w:rPr>
              <w:t>Word Processors and Typists</w:t>
            </w:r>
          </w:p>
        </w:tc>
        <w:tc>
          <w:tcPr>
            <w:tcW w:w="1076"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proofErr w:type="spellStart"/>
            <w:r w:rsidRPr="00C457CE">
              <w:rPr>
                <w:rFonts w:ascii="Calibri" w:eastAsia="Times New Roman" w:hAnsi="Calibri" w:cs="Times New Roman"/>
              </w:rPr>
              <w:t>Insf</w:t>
            </w:r>
            <w:proofErr w:type="spellEnd"/>
            <w:r w:rsidRPr="00C457CE">
              <w:rPr>
                <w:rFonts w:ascii="Calibri" w:eastAsia="Times New Roman" w:hAnsi="Calibri" w:cs="Times New Roman"/>
              </w:rPr>
              <w:t>. Data</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148</w:t>
            </w:r>
          </w:p>
        </w:tc>
        <w:tc>
          <w:tcPr>
            <w:tcW w:w="96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118</w:t>
            </w:r>
          </w:p>
        </w:tc>
        <w:tc>
          <w:tcPr>
            <w:tcW w:w="1144"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(30)</w:t>
            </w:r>
          </w:p>
        </w:tc>
        <w:tc>
          <w:tcPr>
            <w:tcW w:w="1080"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color w:val="FF0000"/>
              </w:rPr>
              <w:t xml:space="preserve"> (20%)</w:t>
            </w:r>
          </w:p>
        </w:tc>
        <w:tc>
          <w:tcPr>
            <w:tcW w:w="993" w:type="dxa"/>
            <w:tcBorders>
              <w:top w:val="nil"/>
              <w:left w:val="nil"/>
              <w:bottom w:val="single" w:sz="4" w:space="0" w:color="auto"/>
              <w:right w:val="single" w:sz="4" w:space="0" w:color="auto"/>
            </w:tcBorders>
            <w:shd w:val="clear" w:color="auto" w:fill="auto"/>
            <w:noWrap/>
            <w:vAlign w:val="center"/>
            <w:hideMark/>
          </w:tcPr>
          <w:p w:rsidR="00C457CE" w:rsidRPr="00C457CE" w:rsidRDefault="00C457CE" w:rsidP="00C457CE">
            <w:pPr>
              <w:spacing w:after="0" w:line="240" w:lineRule="auto"/>
              <w:jc w:val="center"/>
              <w:rPr>
                <w:rFonts w:ascii="Calibri" w:eastAsia="Times New Roman" w:hAnsi="Calibri" w:cs="Times New Roman"/>
              </w:rPr>
            </w:pPr>
            <w:r w:rsidRPr="00C457CE">
              <w:rPr>
                <w:rFonts w:ascii="Calibri" w:eastAsia="Times New Roman" w:hAnsi="Calibri" w:cs="Times New Roman"/>
              </w:rPr>
              <w:t>$18.88</w:t>
            </w:r>
          </w:p>
        </w:tc>
      </w:tr>
    </w:tbl>
    <w:p w:rsidR="00C457CE" w:rsidRDefault="00C457CE" w:rsidP="005444B2">
      <w:pPr>
        <w:pStyle w:val="NoSpacing"/>
        <w:rPr>
          <w:b/>
          <w:color w:val="008000"/>
        </w:rPr>
      </w:pPr>
    </w:p>
    <w:p w:rsidR="00C25C49" w:rsidRDefault="00C25C49" w:rsidP="005444B2">
      <w:pPr>
        <w:pStyle w:val="NoSpacing"/>
        <w:rPr>
          <w:b/>
          <w:color w:val="008000"/>
        </w:rPr>
      </w:pPr>
      <w:r>
        <w:rPr>
          <w:b/>
          <w:color w:val="008000"/>
        </w:rPr>
        <w:t xml:space="preserve">Regional </w:t>
      </w:r>
      <w:r w:rsidRPr="005444B2">
        <w:rPr>
          <w:b/>
          <w:color w:val="008000"/>
        </w:rPr>
        <w:t xml:space="preserve">Job Openings by Occupation </w:t>
      </w:r>
      <w:r>
        <w:rPr>
          <w:b/>
          <w:color w:val="008000"/>
        </w:rPr>
        <w:t xml:space="preserve">(2015 – 2025) </w:t>
      </w:r>
      <w:r w:rsidRPr="005444B2">
        <w:rPr>
          <w:b/>
          <w:color w:val="008000"/>
        </w:rPr>
        <w:t xml:space="preserve">– </w:t>
      </w:r>
      <w:r>
        <w:rPr>
          <w:b/>
          <w:color w:val="008000"/>
        </w:rPr>
        <w:t>Unrelated to Existing Programs</w:t>
      </w:r>
    </w:p>
    <w:tbl>
      <w:tblPr>
        <w:tblW w:w="14673" w:type="dxa"/>
        <w:tblInd w:w="-432" w:type="dxa"/>
        <w:tblLook w:val="04A0" w:firstRow="1" w:lastRow="0" w:firstColumn="1" w:lastColumn="0" w:noHBand="0" w:noVBand="1"/>
      </w:tblPr>
      <w:tblGrid>
        <w:gridCol w:w="8460"/>
        <w:gridCol w:w="1100"/>
        <w:gridCol w:w="970"/>
        <w:gridCol w:w="990"/>
        <w:gridCol w:w="1080"/>
        <w:gridCol w:w="1080"/>
        <w:gridCol w:w="993"/>
      </w:tblGrid>
      <w:tr w:rsidR="00C25C49" w:rsidRPr="00C25C49" w:rsidTr="00C25C49">
        <w:trPr>
          <w:trHeight w:val="915"/>
        </w:trPr>
        <w:tc>
          <w:tcPr>
            <w:tcW w:w="846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Description</w:t>
            </w:r>
          </w:p>
        </w:tc>
        <w:tc>
          <w:tcPr>
            <w:tcW w:w="1100"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Annual Openings</w:t>
            </w:r>
          </w:p>
        </w:tc>
        <w:tc>
          <w:tcPr>
            <w:tcW w:w="970"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2015 Jobs</w:t>
            </w:r>
          </w:p>
        </w:tc>
        <w:tc>
          <w:tcPr>
            <w:tcW w:w="990"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2025 Jobs</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2015 - 2025 Change</w:t>
            </w:r>
          </w:p>
        </w:tc>
        <w:tc>
          <w:tcPr>
            <w:tcW w:w="1080"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2015 - 2025 % Change</w:t>
            </w:r>
          </w:p>
        </w:tc>
        <w:tc>
          <w:tcPr>
            <w:tcW w:w="993" w:type="dxa"/>
            <w:tcBorders>
              <w:top w:val="single" w:sz="4" w:space="0" w:color="auto"/>
              <w:left w:val="nil"/>
              <w:bottom w:val="single" w:sz="4" w:space="0" w:color="auto"/>
              <w:right w:val="single" w:sz="4" w:space="0" w:color="auto"/>
            </w:tcBorders>
            <w:shd w:val="clear" w:color="000000" w:fill="76933C"/>
            <w:vAlign w:val="center"/>
            <w:hideMark/>
          </w:tcPr>
          <w:p w:rsidR="00C25C49" w:rsidRPr="00C25C49" w:rsidRDefault="00C25C49" w:rsidP="00C25C49">
            <w:pPr>
              <w:spacing w:after="0" w:line="240" w:lineRule="auto"/>
              <w:jc w:val="center"/>
              <w:rPr>
                <w:rFonts w:ascii="Calibri" w:eastAsia="Times New Roman" w:hAnsi="Calibri" w:cs="Times New Roman"/>
                <w:b/>
                <w:bCs/>
                <w:color w:val="FFFFFF"/>
              </w:rPr>
            </w:pPr>
            <w:r w:rsidRPr="00C25C49">
              <w:rPr>
                <w:rFonts w:ascii="Calibri" w:eastAsia="Times New Roman" w:hAnsi="Calibri" w:cs="Times New Roman"/>
                <w:b/>
                <w:bCs/>
                <w:color w:val="FFFFFF"/>
              </w:rPr>
              <w:t>Avg. Hourly Earnings</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Adhesive Bonding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$16.68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Administrative Law Judges, Adjudicators, and Hearing Officers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Adult Basic and Secondary Education and Literacy Teachers and Instructors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Aerospace Engineering and Operations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Agricultural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$37.49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Agricultural Equipment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Agricultural Inspectors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Agricultural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 Traffic Controllers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$51.39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Aircraft Cargo Handling Supervisors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$18.22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Aircraft Mechanics and Service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862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$28.49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Aircraft Structure, Surfaces, Rigging, and Systems Assemblers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Airfield Operations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Airline Pilots, Copilots, and Flight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(147)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Animal Breeders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Animal Control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$22.04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Appraisers and Assessors of Real E</w:t>
            </w:r>
            <w:r w:rsidR="00FB6DA3">
              <w:rPr>
                <w:rFonts w:ascii="Calibri" w:eastAsia="Times New Roman" w:hAnsi="Calibri" w:cs="Times New Roman"/>
              </w:rPr>
              <w:t>state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$33.99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Architects, Except Landscape and Naval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Architectural and Civil Drafters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Architectural and Engineering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Assemblers and Fabricators,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2,101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Athletes and Sports Competitors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$40.93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Audio and Video Equipment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Audiologists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Automotive and Watercraft Service Attendants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1,594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Automotive Body and Related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$21.96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Automotive Glass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Automotive Service Technicians and Mechanics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Avionics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Bailiffs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Bakers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Barbers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Bicycle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Boilermakers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$36.04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proofErr w:type="spellStart"/>
            <w:r w:rsidRPr="00C25C49">
              <w:rPr>
                <w:rFonts w:ascii="Calibri" w:eastAsia="Times New Roman" w:hAnsi="Calibri" w:cs="Times New Roman"/>
              </w:rPr>
              <w:t>Brickmasons</w:t>
            </w:r>
            <w:proofErr w:type="spellEnd"/>
            <w:r w:rsidRPr="00C25C49">
              <w:rPr>
                <w:rFonts w:ascii="Calibri" w:eastAsia="Times New Roman" w:hAnsi="Calibri" w:cs="Times New Roman"/>
              </w:rPr>
              <w:t xml:space="preserve"> and </w:t>
            </w:r>
            <w:proofErr w:type="spellStart"/>
            <w:r w:rsidRPr="00C25C49">
              <w:rPr>
                <w:rFonts w:ascii="Calibri" w:eastAsia="Times New Roman" w:hAnsi="Calibri" w:cs="Times New Roman"/>
              </w:rPr>
              <w:t>Blockmasons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Broadcast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Brokerage Clerks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$24.00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Building Cleaning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Bus and Truck Mechanics and Diesel Engine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Bus Drivers, School or Special Client</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4,850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$16.39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Bus Drivers, Transit and Intercity</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Butchers and Meat Cutters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1,631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$14.92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Cabinetmakers and Bench Carpenters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1,528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Camera Operators, Television, Video, and Motion Picture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$33.13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Captains, Mates, and Pilots of Water Vessels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$31.64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Cardiovascular Technologists and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Cargo and Freight Agents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$19.04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Carpenters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10,793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$23.01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Carpet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Cement Masons and Concrete Finishers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2,687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$22.55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Chefs and Head Cooks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Chemical Equipment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Chemical Plant and System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Cleaning, Washing, and Metal Pickling Equipment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Coating, Painting, and Spraying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1,146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Coil Winders, Tapers, and Finishers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Coin, Vending, and Amusement Machine Servicers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Commercial and Industrial Designers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Commercial Pilots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$35.63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Communications Equipment Operators,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Computer Numerically Controlled Machine Tool Programmers,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Computer, Automated Teller, and Office Machine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Computer-Controlled Machine Tool Operators,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Concierges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Construction and Building Inspectors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918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Construction and Related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Construction Laborers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11,705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$20.01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Construction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2,220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$52.43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Continuous Mining Machine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Control and Valve Installers and Repairers, Except Mechanical Door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$31.19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Conveyor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$17.22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Cooks,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Cooks, Institution and Cafeteria</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Cooks, Private Household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$20.33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Cooling and Freezing Equipment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Correctional Officers and Jailers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4,801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$33.49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Correspondence Clerks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$12.52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Counter and Rental Clerks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6,342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Couriers and Messengers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$12.74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Crane and Tower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Crushing, Grinding, and Polishing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Customer Service Representatives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833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16,189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19,613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Cutting and Slicing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Cutting, Punching, and Press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Data Entry </w:t>
            </w:r>
            <w:proofErr w:type="spellStart"/>
            <w:r w:rsidRPr="00C25C49">
              <w:rPr>
                <w:rFonts w:ascii="Calibri" w:eastAsia="Times New Roman" w:hAnsi="Calibri" w:cs="Times New Roman"/>
              </w:rPr>
              <w:t>Keyers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1,543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Demonstrators and Product Promoters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Dental Assistants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5,520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Dental Hygienists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Dental Laboratory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Dentists, All Other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$62.86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Dentists, General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1,149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Derrick Operators, Oil and Gas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Detectives and Criminal Investigators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$45.64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Diagnostic Medical Sonographers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Dietetic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Dietitians and Nutritionists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Dispatchers, Except Police, Fire, and Ambulance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2,766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Drafters,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$24.89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Drilling and Boring Machine Tool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Driver/Sales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2,430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Drywall and Ceiling Tile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$24.70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Earth Drillers, Except Oil and Gas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$36.88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Education, Training, and Library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1,887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$18.74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 Motor, Power Tool, and Related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 Equipment Assemblers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Electronics Drafters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Electronics Engineering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967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Electronics Installers and Repairers, Transportation Equipment</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$25.59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Electronics Repairers, Commercial and Industrial Equipment</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and Electronics Repairers, Powerhouse, Substation, and Relay</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$39.30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Electrical Power-Line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$43.38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Electricians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5,155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$28.91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Electromechanical Equipment Assemblers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Electro-Mechanical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$27.71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Electronic Equipment Installers and Repairers, Motor Vehicles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Electronic Home Entertainment Equipment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$21.69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Elevator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Eligibility Interviewers, Government Programs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Embalmers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$22.59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Engine and Other Machine Assemblers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$20.25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Entertainment Attendants and Related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Excavating and Loading Machine and Dragline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Explosives Workers, Ordnance Handling Experts, and Blasters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Extraction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Extruding and Drawing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Extruding and Forming Machine Setters, Operators, and Tenders, Synthetic and Glass Fibers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Extruding, Forming, Pressing, and Compacting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Fabric and Apparel Patternmakers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Farm and Home Management Advisors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$29.60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Farm Equipment Mechanics and Service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$20.60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Farmers, Ranchers, and Other Agricultural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(171)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$36.37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Farmworkers, Farm, Ranch, and </w:t>
            </w:r>
            <w:proofErr w:type="spellStart"/>
            <w:r w:rsidRPr="00C25C49">
              <w:rPr>
                <w:rFonts w:ascii="Calibri" w:eastAsia="Times New Roman" w:hAnsi="Calibri" w:cs="Times New Roman"/>
              </w:rPr>
              <w:t>Aquacultural</w:t>
            </w:r>
            <w:proofErr w:type="spellEnd"/>
            <w:r w:rsidRPr="00C25C49">
              <w:rPr>
                <w:rFonts w:ascii="Calibri" w:eastAsia="Times New Roman" w:hAnsi="Calibri" w:cs="Times New Roman"/>
              </w:rPr>
              <w:t xml:space="preserve"> Animals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Fence Erectors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Fiberglass Laminators and Fabricators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Construction Trades and Extraction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$34.10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Correctional Officers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Farming, Fishing, and Forestry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Food Preparation and Serving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9,361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2,266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Helpers, Laborers, and Material Movers, Hand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4,338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Housekeeping and Janitorial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$18.11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 xml:space="preserve">First-Line Supervisors of Landscaping, Lawn Service, and </w:t>
            </w:r>
            <w:proofErr w:type="spellStart"/>
            <w:r w:rsidRPr="00C25C49">
              <w:rPr>
                <w:rFonts w:ascii="Calibri" w:eastAsia="Times New Roman" w:hAnsi="Calibri" w:cs="Times New Roman"/>
              </w:rPr>
              <w:t>Groundskeeping</w:t>
            </w:r>
            <w:proofErr w:type="spellEnd"/>
            <w:r w:rsidRPr="00C25C49">
              <w:rPr>
                <w:rFonts w:ascii="Calibri" w:eastAsia="Times New Roman" w:hAnsi="Calibri" w:cs="Times New Roman"/>
              </w:rPr>
              <w:t xml:space="preserve">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1,401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$20.08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Mechanics,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3,831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$34.30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Non-Retail Sales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2,306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Personal Service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Police and Detectives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Production and Operating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5,164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Protective Service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$24.05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First-Line Supervisors of Retail Sales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13,373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$20.79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First-Line Supervisors of Transportation </w:t>
            </w:r>
            <w:r>
              <w:rPr>
                <w:rFonts w:ascii="Calibri" w:eastAsia="Times New Roman" w:hAnsi="Calibri" w:cs="Times New Roman"/>
              </w:rPr>
              <w:t>and Material-Moving Machine/</w:t>
            </w:r>
            <w:r w:rsidRPr="00C25C49">
              <w:rPr>
                <w:rFonts w:ascii="Calibri" w:eastAsia="Times New Roman" w:hAnsi="Calibri" w:cs="Times New Roman"/>
              </w:rPr>
              <w:t>Vehicle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2,964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Fish and Game Wardens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Fishers and Related Fishing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&lt;10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Flight Attendants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Floor Layers, Except Carpet, Wood, and Hard Tiles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Floor Sanders and Finishers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Floral Designers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Food and Tobacco Roasting, Baking, and Drying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Food </w:t>
            </w:r>
            <w:proofErr w:type="spellStart"/>
            <w:r w:rsidRPr="00C25C49">
              <w:rPr>
                <w:rFonts w:ascii="Calibri" w:eastAsia="Times New Roman" w:hAnsi="Calibri" w:cs="Times New Roman"/>
              </w:rPr>
              <w:t>Batchmakers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Food Cooking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Food Processing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$14.16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Food Service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Forging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Foundry Mold and </w:t>
            </w:r>
            <w:proofErr w:type="spellStart"/>
            <w:r w:rsidRPr="00C25C49">
              <w:rPr>
                <w:rFonts w:ascii="Calibri" w:eastAsia="Times New Roman" w:hAnsi="Calibri" w:cs="Times New Roman"/>
              </w:rPr>
              <w:t>Coremakers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Funeral Attendants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Funeral Service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$28.71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Furnace, Kiln, Oven, Drier, and Kettle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Furniture Finishers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Cage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Change Persons and Booth Cashiers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841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887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Dealers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3,027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Gaming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$37.54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Service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Supervisors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Gaming Surveillance Officers and Gaming Investigators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Gas Plant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Glaziers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Grinding and Polishing Workers, Hand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Grinding, Lapping, Polishing, and Buffing Machine Tool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Grounds Maintenance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Hairdressers, Hairstylists, and Cosmetologists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Hazardous Materials Removal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Health and Safety Engineers, Except Mining Safety Engineers and Inspectors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$41.00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Health Educators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Health Technologists and Technicians,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$20.70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Healthcare Practitioners and Technical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$29.54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Healthcare Support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Hearing Aid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Heat Treating Equipment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Heating, Air Conditioning, and Refrigeration Mechanics and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2,929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3,299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$24.11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Heavy and Tractor-Trailer Truck Drivers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1,022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26,335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31,860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$22.84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 Construction Trades,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w:t>
            </w:r>
            <w:proofErr w:type="spellStart"/>
            <w:r w:rsidRPr="00C25C49">
              <w:rPr>
                <w:rFonts w:ascii="Calibri" w:eastAsia="Times New Roman" w:hAnsi="Calibri" w:cs="Times New Roman"/>
              </w:rPr>
              <w:t>Brickmasons</w:t>
            </w:r>
            <w:proofErr w:type="spellEnd"/>
            <w:r w:rsidRPr="00C25C49">
              <w:rPr>
                <w:rFonts w:ascii="Calibri" w:eastAsia="Times New Roman" w:hAnsi="Calibri" w:cs="Times New Roman"/>
              </w:rPr>
              <w:t xml:space="preserve">, </w:t>
            </w:r>
            <w:proofErr w:type="spellStart"/>
            <w:r w:rsidRPr="00C25C49">
              <w:rPr>
                <w:rFonts w:ascii="Calibri" w:eastAsia="Times New Roman" w:hAnsi="Calibri" w:cs="Times New Roman"/>
              </w:rPr>
              <w:t>Blockmasons</w:t>
            </w:r>
            <w:proofErr w:type="spellEnd"/>
            <w:r w:rsidRPr="00C25C49">
              <w:rPr>
                <w:rFonts w:ascii="Calibri" w:eastAsia="Times New Roman" w:hAnsi="Calibri" w:cs="Times New Roman"/>
              </w:rPr>
              <w:t>, Stonemasons, and Tile and Marble Setters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Helpers--Carpenters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Helpers--Electricians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Helpers--Extraction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Helpers--Installation, Maintenance, and Repair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$14.79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Helpers--Painters, Paperhangers, Plasterers, and Stucco Masons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Helpers--</w:t>
            </w:r>
            <w:proofErr w:type="spellStart"/>
            <w:r w:rsidRPr="00C25C49">
              <w:rPr>
                <w:rFonts w:ascii="Calibri" w:eastAsia="Times New Roman" w:hAnsi="Calibri" w:cs="Times New Roman"/>
              </w:rPr>
              <w:t>Pipelayers</w:t>
            </w:r>
            <w:proofErr w:type="spellEnd"/>
            <w:r w:rsidRPr="00C25C49">
              <w:rPr>
                <w:rFonts w:ascii="Calibri" w:eastAsia="Times New Roman" w:hAnsi="Calibri" w:cs="Times New Roman"/>
              </w:rPr>
              <w:t>, Plumbers, Pipefitters, and Steamfitters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Helpers--Roofers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$12.74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Highway Maintenance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$23.29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Home Appliance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776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$21.84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Home Health Aides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4,029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7,240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Hydrologists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Industrial Engineering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$24.88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Industrial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862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Industrial Machinery Mechanics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$26.08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Industrial Truck and Tractor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9,849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Inspectors, Testers, Sorters, Samplers, and </w:t>
            </w:r>
            <w:proofErr w:type="spellStart"/>
            <w:r w:rsidRPr="00C25C49">
              <w:rPr>
                <w:rFonts w:ascii="Calibri" w:eastAsia="Times New Roman" w:hAnsi="Calibri" w:cs="Times New Roman"/>
              </w:rPr>
              <w:t>Weighers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4,095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$17.44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Installation, Maintenance, and Repair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$18.14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Instructional Coordinators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1,872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Insulation Workers, Floor, Ceiling, and Wall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Insulation Workers, Mechanical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Insurance Appraisers, Auto Damage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$25.60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Interior Designers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Interviewers, Except Eligibility and Loan</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Janitors and Cleaners, Except Maids and Housekeeping Cleaners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18,992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21,282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Jewelers and Precious Stone and Metal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Laborers and Freight, Stock, and Material Movers, Hand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47,382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57,228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9,846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Landscape Architects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$35.64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Landscaping and </w:t>
            </w:r>
            <w:proofErr w:type="spellStart"/>
            <w:r w:rsidRPr="00C25C49">
              <w:rPr>
                <w:rFonts w:ascii="Calibri" w:eastAsia="Times New Roman" w:hAnsi="Calibri" w:cs="Times New Roman"/>
              </w:rPr>
              <w:t>Groundskeeping</w:t>
            </w:r>
            <w:proofErr w:type="spellEnd"/>
            <w:r w:rsidRPr="00C25C49">
              <w:rPr>
                <w:rFonts w:ascii="Calibri" w:eastAsia="Times New Roman" w:hAnsi="Calibri" w:cs="Times New Roman"/>
              </w:rPr>
              <w:t xml:space="preserve">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14,111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16,053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$12.33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Lathe and Turning Machine Tool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Laundry and Dry-Cleaning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$12.13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Layout Workers,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$21.31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Legislators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Light Truck or Delivery Services Drivers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9,684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$19.14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Locksmiths and Safe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$24.59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Locomotive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$28.23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Lodging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$25.67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Logging Equipment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Machine Feeders and </w:t>
            </w:r>
            <w:proofErr w:type="spellStart"/>
            <w:r w:rsidRPr="00C25C49">
              <w:rPr>
                <w:rFonts w:ascii="Calibri" w:eastAsia="Times New Roman" w:hAnsi="Calibri" w:cs="Times New Roman"/>
              </w:rPr>
              <w:t>Offbearers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$14.98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Machinists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3,564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$17.34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Magnetic Resonance Imaging Technologists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$37.03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Mail Clerks and Mail Machine Operators, Except Postal Service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Maintenance and Repair Workers, General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12,074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13,722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Maintenance Workers, Machinery</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Manufactured Building and Mobile Home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Material Moving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$19.15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Mechanical Door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Mechanical Drafters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$25.77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Media and Communication Equipment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and Clinical Laboratory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$19.63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and Clinical Laboratory Technologists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$33.37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and Health Services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$58.00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Appliance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Assistants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7,415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9,118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Equipment Preparers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$20.03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Equipment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Records and Health Information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$21.70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Secretaries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5,911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7,631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1,720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$15.64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Medical Transcriptionists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Meeting, Convention, and Event Planners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$20.34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Merchandise Displayers and Window Trimmers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$16.53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Metal Workers and Plastic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Metal-Refining Furnace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Meter Readers, Utilities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$22.30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Milling and </w:t>
            </w:r>
            <w:proofErr w:type="spellStart"/>
            <w:r w:rsidRPr="00C25C49">
              <w:rPr>
                <w:rFonts w:ascii="Calibri" w:eastAsia="Times New Roman" w:hAnsi="Calibri" w:cs="Times New Roman"/>
              </w:rPr>
              <w:t>Planing</w:t>
            </w:r>
            <w:proofErr w:type="spellEnd"/>
            <w:r w:rsidRPr="00C25C49">
              <w:rPr>
                <w:rFonts w:ascii="Calibri" w:eastAsia="Times New Roman" w:hAnsi="Calibri" w:cs="Times New Roman"/>
              </w:rPr>
              <w:t xml:space="preserve">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Millwrights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$21.80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Mine Cutting and Channeling Machine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$22.68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Mixing and Blending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Mobile Heavy Equipment Mechanics, Except Engines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Model Makers,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Model Makers, Wood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Models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Molders, Shapers, and Casters, Except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736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Molding, </w:t>
            </w:r>
            <w:proofErr w:type="spellStart"/>
            <w:r w:rsidRPr="00C25C49">
              <w:rPr>
                <w:rFonts w:ascii="Calibri" w:eastAsia="Times New Roman" w:hAnsi="Calibri" w:cs="Times New Roman"/>
              </w:rPr>
              <w:t>Coremaking</w:t>
            </w:r>
            <w:proofErr w:type="spellEnd"/>
            <w:r w:rsidRPr="00C25C49">
              <w:rPr>
                <w:rFonts w:ascii="Calibri" w:eastAsia="Times New Roman" w:hAnsi="Calibri" w:cs="Times New Roman"/>
              </w:rPr>
              <w:t>, and Casting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Morticians, Undertakers, and Funeral Directors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$35.81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Motor Vehicle Operators,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1,500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Motorboat Mechanics and Service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$17.43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Motorboat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$23.69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Motorcycle Mechanics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$22.82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Multiple Machine Tool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$15.65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Nuclear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Nuclear Medicine Technologists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Nuclear Power Reactor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Nuclear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$41.12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Occupational Health and Safety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Occupational Health and Safety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$28.19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Office Machine Operators, Except Computer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$16.91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Operating Engineers and Other Construction Equipment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$31.03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Ophthalmic Laboratory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Ophthalmic Medical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Opticians, Dispensing</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$16.66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Optometrists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$50.33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Oral and Maxillofacial Surgeons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Orderlies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$17.33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Orthodontists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$94.80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proofErr w:type="spellStart"/>
            <w:r w:rsidRPr="00C25C49">
              <w:rPr>
                <w:rFonts w:ascii="Calibri" w:eastAsia="Times New Roman" w:hAnsi="Calibri" w:cs="Times New Roman"/>
              </w:rPr>
              <w:t>Orthotists</w:t>
            </w:r>
            <w:proofErr w:type="spellEnd"/>
            <w:r w:rsidRPr="00C25C49">
              <w:rPr>
                <w:rFonts w:ascii="Calibri" w:eastAsia="Times New Roman" w:hAnsi="Calibri" w:cs="Times New Roman"/>
              </w:rPr>
              <w:t xml:space="preserve"> and </w:t>
            </w:r>
            <w:proofErr w:type="spellStart"/>
            <w:r w:rsidRPr="00C25C49">
              <w:rPr>
                <w:rFonts w:ascii="Calibri" w:eastAsia="Times New Roman" w:hAnsi="Calibri" w:cs="Times New Roman"/>
              </w:rPr>
              <w:t>Prosthetists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$39.41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Outdoor Power Equipment and Other Small Engine Mechanics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Packaging and Filling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4,434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4,843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409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Packers and Packagers, Hand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12,300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Painters, Construction and Maintenance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3,244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$21.10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Painters, Transportation Equipment</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Painting, Coating, and Decorating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Paper Goods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736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Paperhangers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Parking Enforcement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Parts Salespersons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Patternmakers,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Paving, Surfacing, and Tamping Equipment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$30.48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Pest Control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1,258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Pesticide Handlers, Sprayers, and Applicators, Vegetation</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$14.51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Petroleum Engineers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$54.26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Petroleum Pump System Operators, Refinery Operators, and </w:t>
            </w:r>
            <w:proofErr w:type="spellStart"/>
            <w:r w:rsidRPr="00C25C49">
              <w:rPr>
                <w:rFonts w:ascii="Calibri" w:eastAsia="Times New Roman" w:hAnsi="Calibri" w:cs="Times New Roman"/>
              </w:rPr>
              <w:t>Gaugers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Pharmacy Aides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834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966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$14.71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Pharmacy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3,256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$17.97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Pile-Driver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$27.30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proofErr w:type="spellStart"/>
            <w:r w:rsidRPr="00C25C49">
              <w:rPr>
                <w:rFonts w:ascii="Calibri" w:eastAsia="Times New Roman" w:hAnsi="Calibri" w:cs="Times New Roman"/>
              </w:rPr>
              <w:t>Pipelayers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Plant and System Operators,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$25.38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Plasterers and Stucco Masons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974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$17.70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Plating and Coating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Plumbers, Pipefitters, and Steamfitters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3,440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3,881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$23.29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Podiatrists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$67.98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Police and Sheriff's Patrol Officers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6,428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596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Postal Service Clerks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Postal Service Mail Carriers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Postal Service Mail Sorters, Processors, and Processing Machine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Postmasters and Mail Superintendents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$37.79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Postsecondary Teachers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10,851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2,108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$41.66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Pourers and Casters, Metal</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Power Distributors and Dispatchers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Power Plant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$31.90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Precision Instrument and Equipment Repairers,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Prepress Technicians and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Print Binding and Finishing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$16.66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Printing Press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894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852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Private Detectives and Investigators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Probation Officers and Correctional Treatment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995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Production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1,663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Property, Real E</w:t>
            </w:r>
            <w:r w:rsidR="00FB6DA3">
              <w:rPr>
                <w:rFonts w:ascii="Calibri" w:eastAsia="Times New Roman" w:hAnsi="Calibri" w:cs="Times New Roman"/>
              </w:rPr>
              <w:t>state</w:t>
            </w:r>
            <w:r w:rsidRPr="00C25C49">
              <w:rPr>
                <w:rFonts w:ascii="Calibri" w:eastAsia="Times New Roman" w:hAnsi="Calibri" w:cs="Times New Roman"/>
              </w:rPr>
              <w:t>, and Community Association Managers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1,713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$29.71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Protective Service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2,457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2,692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$15.37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Psychiatric Aides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Psychiatric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Pump Operators, Except Wellhead Pumpers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Radiation Therapists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$49.06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Radio, Cellular, and Tower Equipment Installers and Repairs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Rail Car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Railroad Brake, Signal, and Switch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Railroad Conductors and Yardmasters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Rail-Track Laying and Maintenance Equipment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$28.25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Real E</w:t>
            </w:r>
            <w:r w:rsidR="00FB6DA3">
              <w:rPr>
                <w:rFonts w:ascii="Calibri" w:eastAsia="Times New Roman" w:hAnsi="Calibri" w:cs="Times New Roman"/>
              </w:rPr>
              <w:t>state</w:t>
            </w:r>
            <w:r w:rsidRPr="00C25C49">
              <w:rPr>
                <w:rFonts w:ascii="Calibri" w:eastAsia="Times New Roman" w:hAnsi="Calibri" w:cs="Times New Roman"/>
              </w:rPr>
              <w:t xml:space="preserve"> Brokers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667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$31.22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Real E</w:t>
            </w:r>
            <w:r w:rsidR="00FB6DA3">
              <w:rPr>
                <w:rFonts w:ascii="Calibri" w:eastAsia="Times New Roman" w:hAnsi="Calibri" w:cs="Times New Roman"/>
              </w:rPr>
              <w:t>state</w:t>
            </w:r>
            <w:r w:rsidRPr="00C25C49">
              <w:rPr>
                <w:rFonts w:ascii="Calibri" w:eastAsia="Times New Roman" w:hAnsi="Calibri" w:cs="Times New Roman"/>
              </w:rPr>
              <w:t xml:space="preserve"> Sales Agents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1,177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$25.99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Recreation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3,957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4,701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Recreational Vehicle Service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Refractory Materials Repairers, Except </w:t>
            </w:r>
            <w:proofErr w:type="spellStart"/>
            <w:r w:rsidRPr="00C25C49">
              <w:rPr>
                <w:rFonts w:ascii="Calibri" w:eastAsia="Times New Roman" w:hAnsi="Calibri" w:cs="Times New Roman"/>
              </w:rPr>
              <w:t>Brickmasons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Refuse and Recyclable Material Collectors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1,369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$19.02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Reinforcing Iron and Rebar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$27.89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Reservation and Transportation Ticket Agents and Travel Clerks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Residential Advisors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$16.85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Retail Salespersons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3,052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49,183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60,673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11,490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Riggers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Rolling Machine Setters, Operators, and Tenders, Metal and Plastic</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$16.22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Roofers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1,331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$20.74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Rotary Drill Operators, Oil and Gas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Roustabouts, Oil and Gas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$21.20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Sailors and Marine Oilers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Sawing Machine Setters, Operators, and Tenders, Wood</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563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$14.16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Security and Fire Alarm Systems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$23.58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Security Guards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15,768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19,495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$12.10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Semiconductor Processors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$18.13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Separating, Filtering, Clarifying, Precipitating, and Still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Septic Tank Servicers and Sewer Pipe Cleaners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Service Unit Operators, Oil, Gas, and Mining</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$22.96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Sheet Metal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$22.91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Shoe and Leather Workers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Shoe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Signal and Track Switch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Skincare Specialists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$14.63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Slot Supervisors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Solar Photovoltaic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$23.09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Sound Engineering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$20.99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Speech-Language Pathologists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705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$38.66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Stationary Engineers and Boiler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Stock Clerks and Order Fillers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26,373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29,870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3,497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Stonemasons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$18.67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Structural Iron and Steel Workers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579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475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$32.71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Structural Metal Fabricators and Fitters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$16.28</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Surgical Technologists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804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Surveyors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$33.44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Switchboard Operators, Including Answering Service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1,198</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(60)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Tailors, Dressmakers, and Custom Sewers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Tank Car, Truck, and Ship Loaders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$22.25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Tapers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733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$21.99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Taxi Drivers and Chauffeurs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816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1,138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$12.39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Team Assemblers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10,003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10,484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Telecommunications Equipment Installers and Repairers, Except Line Installers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2,146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$28.59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Telecommunications Line Installers and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1,788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$25.21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Telemarketers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996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$12.14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Telephone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Terrazzo Workers and Finishers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$21.69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Textile Bleaching and Dyeing Machine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$14.86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Textile Knitting and Weaving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$12.80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Textile, Apparel, and Furnishings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Tile and Marble Setters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1,206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$20.94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Tire Builders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$15.93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Tire Repairers and Changers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90</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1,984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2,157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$12.99</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Title Examiners, Abstractors, and Searchers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Tool and Die Makers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$23.53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Tool Grinders, Filers, and Sharpeners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$17.03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Tour Guides and Escorts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$13.13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lastRenderedPageBreak/>
              <w:t>Transit and Railroad Police</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proofErr w:type="spellStart"/>
            <w:r w:rsidRPr="00C25C49">
              <w:rPr>
                <w:rFonts w:ascii="Calibri" w:eastAsia="Times New Roman" w:hAnsi="Calibri" w:cs="Times New Roman"/>
              </w:rPr>
              <w:t>Insf</w:t>
            </w:r>
            <w:proofErr w:type="spellEnd"/>
            <w:r w:rsidRPr="00C25C49">
              <w:rPr>
                <w:rFonts w:ascii="Calibri" w:eastAsia="Times New Roman" w:hAnsi="Calibri" w:cs="Times New Roman"/>
              </w:rPr>
              <w:t>. Data</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Transportation Attendants, Except Flight Attendants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$16.47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Transportation Inspectors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$23.85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Transportation Security Screeners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$20.11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Transportation Workers, All Other</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554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$15.13</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Travel Agents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345</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275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$16.72</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Travel Guides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$16.56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Tree Trimmers and Pruners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547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684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25%</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$14.26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Umpires, Referees, and Other Sports Officials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6</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153</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$14.01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Upholsterers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455</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$15.61</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Urban and Regional Planners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414</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456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$38.04</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Watch Repairers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$22.07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Water and Wastewater Treatment Plant and System Operators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49</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1,017</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1,127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$30.57</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proofErr w:type="spellStart"/>
            <w:r w:rsidRPr="00C25C49">
              <w:rPr>
                <w:rFonts w:ascii="Calibri" w:eastAsia="Times New Roman" w:hAnsi="Calibri" w:cs="Times New Roman"/>
              </w:rPr>
              <w:t>Weighers</w:t>
            </w:r>
            <w:proofErr w:type="spellEnd"/>
            <w:r w:rsidRPr="00C25C49">
              <w:rPr>
                <w:rFonts w:ascii="Calibri" w:eastAsia="Times New Roman" w:hAnsi="Calibri" w:cs="Times New Roman"/>
              </w:rPr>
              <w:t>, Measurers, Checkers, and Samplers, Recordkeeping</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58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1,432</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1,669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237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$13.45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 xml:space="preserve">Welders, Cutters, </w:t>
            </w:r>
            <w:proofErr w:type="spellStart"/>
            <w:r w:rsidRPr="00C25C49">
              <w:rPr>
                <w:rFonts w:ascii="Calibri" w:eastAsia="Times New Roman" w:hAnsi="Calibri" w:cs="Times New Roman"/>
              </w:rPr>
              <w:t>Solderers</w:t>
            </w:r>
            <w:proofErr w:type="spellEnd"/>
            <w:r w:rsidRPr="00C25C49">
              <w:rPr>
                <w:rFonts w:ascii="Calibri" w:eastAsia="Times New Roman" w:hAnsi="Calibri" w:cs="Times New Roman"/>
              </w:rPr>
              <w:t xml:space="preserve">, and </w:t>
            </w:r>
            <w:proofErr w:type="spellStart"/>
            <w:r w:rsidRPr="00C25C49">
              <w:rPr>
                <w:rFonts w:ascii="Calibri" w:eastAsia="Times New Roman" w:hAnsi="Calibri" w:cs="Times New Roman"/>
              </w:rPr>
              <w:t>Brazers</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98</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3,159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3,149</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(0%)</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$17.50</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Welding, Soldering, and Brazing Machine Setters, Operators, and Tenders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11</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246</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290</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44</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$15.46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Wind Turbine Service Technicians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26%</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$24.76</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Woodworking Machine Setters, Operators, and Tenders, Except Sawing</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789</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717</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(72)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(9%)</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$12.95</w:t>
            </w:r>
          </w:p>
        </w:tc>
      </w:tr>
      <w:tr w:rsidR="00C25C49" w:rsidRPr="00C25C49" w:rsidTr="00C25C49">
        <w:trPr>
          <w:trHeight w:val="300"/>
        </w:trPr>
        <w:tc>
          <w:tcPr>
            <w:tcW w:w="8460" w:type="dxa"/>
            <w:tcBorders>
              <w:top w:val="nil"/>
              <w:left w:val="single" w:sz="4" w:space="0" w:color="auto"/>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rPr>
                <w:rFonts w:ascii="Calibri" w:eastAsia="Times New Roman" w:hAnsi="Calibri" w:cs="Times New Roman"/>
              </w:rPr>
            </w:pPr>
            <w:r w:rsidRPr="00C25C49">
              <w:rPr>
                <w:rFonts w:ascii="Calibri" w:eastAsia="Times New Roman" w:hAnsi="Calibri" w:cs="Times New Roman"/>
              </w:rPr>
              <w:t>Word Processors and Typists</w:t>
            </w:r>
          </w:p>
        </w:tc>
        <w:tc>
          <w:tcPr>
            <w:tcW w:w="110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4</w:t>
            </w:r>
          </w:p>
        </w:tc>
        <w:tc>
          <w:tcPr>
            <w:tcW w:w="97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1,260</w:t>
            </w:r>
          </w:p>
        </w:tc>
        <w:tc>
          <w:tcPr>
            <w:tcW w:w="99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1,032</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(228)</w:t>
            </w:r>
          </w:p>
        </w:tc>
        <w:tc>
          <w:tcPr>
            <w:tcW w:w="1080"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color w:val="FF0000"/>
              </w:rPr>
              <w:t xml:space="preserve"> (18%)</w:t>
            </w:r>
          </w:p>
        </w:tc>
        <w:tc>
          <w:tcPr>
            <w:tcW w:w="993" w:type="dxa"/>
            <w:tcBorders>
              <w:top w:val="nil"/>
              <w:left w:val="nil"/>
              <w:bottom w:val="single" w:sz="4" w:space="0" w:color="auto"/>
              <w:right w:val="single" w:sz="4" w:space="0" w:color="auto"/>
            </w:tcBorders>
            <w:shd w:val="clear" w:color="auto" w:fill="auto"/>
            <w:noWrap/>
            <w:vAlign w:val="center"/>
            <w:hideMark/>
          </w:tcPr>
          <w:p w:rsidR="00C25C49" w:rsidRPr="00C25C49" w:rsidRDefault="00C25C49" w:rsidP="00C25C49">
            <w:pPr>
              <w:spacing w:after="0" w:line="240" w:lineRule="auto"/>
              <w:jc w:val="center"/>
              <w:rPr>
                <w:rFonts w:ascii="Calibri" w:eastAsia="Times New Roman" w:hAnsi="Calibri" w:cs="Times New Roman"/>
              </w:rPr>
            </w:pPr>
            <w:r w:rsidRPr="00C25C49">
              <w:rPr>
                <w:rFonts w:ascii="Calibri" w:eastAsia="Times New Roman" w:hAnsi="Calibri" w:cs="Times New Roman"/>
              </w:rPr>
              <w:t>$18.71</w:t>
            </w:r>
          </w:p>
        </w:tc>
      </w:tr>
    </w:tbl>
    <w:p w:rsidR="00C25C49" w:rsidRDefault="00C25C49" w:rsidP="005444B2">
      <w:pPr>
        <w:pStyle w:val="NoSpacing"/>
        <w:rPr>
          <w:b/>
          <w:color w:val="008000"/>
        </w:rPr>
        <w:sectPr w:rsidR="00C25C49" w:rsidSect="00A2697E">
          <w:pgSz w:w="15840" w:h="12240" w:orient="landscape"/>
          <w:pgMar w:top="1440" w:right="1440" w:bottom="1440" w:left="1166" w:header="720" w:footer="0" w:gutter="0"/>
          <w:pgNumType w:start="1"/>
          <w:cols w:space="720"/>
          <w:docGrid w:linePitch="299"/>
        </w:sectPr>
      </w:pPr>
    </w:p>
    <w:p w:rsidR="00AD1889" w:rsidRDefault="00136838" w:rsidP="00855D24">
      <w:pPr>
        <w:keepNext/>
        <w:keepLines/>
        <w:numPr>
          <w:ilvl w:val="0"/>
          <w:numId w:val="2"/>
        </w:numPr>
        <w:spacing w:before="360"/>
        <w:ind w:hanging="432"/>
      </w:pPr>
      <w:r>
        <w:rPr>
          <w:rFonts w:ascii="Jaeger Daily News" w:eastAsia="Jaeger Daily News" w:hAnsi="Jaeger Daily News" w:cs="Jaeger Daily News"/>
          <w:b/>
          <w:smallCaps/>
          <w:sz w:val="36"/>
          <w:szCs w:val="36"/>
        </w:rPr>
        <w:lastRenderedPageBreak/>
        <w:t>Contents</w:t>
      </w:r>
    </w:p>
    <w:p w:rsidR="00AD1889" w:rsidRDefault="00356BC7">
      <w:pPr>
        <w:tabs>
          <w:tab w:val="left" w:pos="440"/>
          <w:tab w:val="right" w:pos="9350"/>
        </w:tabs>
        <w:spacing w:after="100"/>
      </w:pPr>
      <w:hyperlink w:anchor="h.30j0zll">
        <w:r w:rsidR="00136838">
          <w:rPr>
            <w:color w:val="0563C1"/>
            <w:u w:val="single"/>
          </w:rPr>
          <w:t>1</w:t>
        </w:r>
      </w:hyperlink>
      <w:hyperlink w:anchor="h.30j0zll">
        <w:r w:rsidR="00136838">
          <w:tab/>
        </w:r>
      </w:hyperlink>
      <w:hyperlink w:anchor="h.30j0zll">
        <w:r w:rsidR="00136838">
          <w:rPr>
            <w:color w:val="0563C1"/>
            <w:u w:val="single"/>
          </w:rPr>
          <w:t xml:space="preserve">Message </w:t>
        </w:r>
        <w:proofErr w:type="gramStart"/>
        <w:r w:rsidR="00136838">
          <w:rPr>
            <w:color w:val="0563C1"/>
            <w:u w:val="single"/>
          </w:rPr>
          <w:t>From</w:t>
        </w:r>
        <w:proofErr w:type="gramEnd"/>
        <w:r w:rsidR="00136838">
          <w:rPr>
            <w:color w:val="0563C1"/>
            <w:u w:val="single"/>
          </w:rPr>
          <w:t xml:space="preserve"> College Leadership</w:t>
        </w:r>
      </w:hyperlink>
      <w:hyperlink w:anchor="h.30j0zll">
        <w:r w:rsidR="00136838">
          <w:tab/>
        </w:r>
      </w:hyperlink>
    </w:p>
    <w:p w:rsidR="00AD1889" w:rsidRDefault="00356BC7">
      <w:pPr>
        <w:tabs>
          <w:tab w:val="left" w:pos="440"/>
          <w:tab w:val="right" w:pos="9350"/>
        </w:tabs>
        <w:spacing w:after="100"/>
      </w:pPr>
      <w:hyperlink w:anchor="h.1fob9te">
        <w:r w:rsidR="00136838">
          <w:rPr>
            <w:color w:val="0563C1"/>
            <w:u w:val="single"/>
          </w:rPr>
          <w:t>2</w:t>
        </w:r>
      </w:hyperlink>
      <w:hyperlink w:anchor="h.1fob9te">
        <w:r w:rsidR="00136838">
          <w:tab/>
        </w:r>
      </w:hyperlink>
      <w:hyperlink w:anchor="h.1fob9te">
        <w:r w:rsidR="00136838">
          <w:rPr>
            <w:color w:val="0563C1"/>
            <w:u w:val="single"/>
          </w:rPr>
          <w:t>Plan Overview</w:t>
        </w:r>
      </w:hyperlink>
      <w:hyperlink w:anchor="h.1fob9te">
        <w:r w:rsidR="00136838">
          <w:tab/>
        </w:r>
      </w:hyperlink>
    </w:p>
    <w:p w:rsidR="00AD1889" w:rsidRDefault="00356BC7">
      <w:pPr>
        <w:tabs>
          <w:tab w:val="left" w:pos="440"/>
          <w:tab w:val="right" w:pos="9350"/>
        </w:tabs>
        <w:spacing w:after="100"/>
      </w:pPr>
      <w:hyperlink w:anchor="h.3znysh7">
        <w:r w:rsidR="00136838">
          <w:rPr>
            <w:color w:val="0563C1"/>
            <w:u w:val="single"/>
          </w:rPr>
          <w:t>3</w:t>
        </w:r>
      </w:hyperlink>
      <w:hyperlink w:anchor="h.3znysh7">
        <w:r w:rsidR="00136838">
          <w:tab/>
        </w:r>
      </w:hyperlink>
      <w:hyperlink w:anchor="h.3znysh7">
        <w:r w:rsidR="00136838">
          <w:rPr>
            <w:color w:val="0563C1"/>
            <w:u w:val="single"/>
          </w:rPr>
          <w:t>Planning Framework</w:t>
        </w:r>
      </w:hyperlink>
      <w:hyperlink w:anchor="h.3znysh7">
        <w:r w:rsidR="00136838">
          <w:tab/>
        </w:r>
      </w:hyperlink>
    </w:p>
    <w:p w:rsidR="00AD1889" w:rsidRDefault="00356BC7">
      <w:pPr>
        <w:tabs>
          <w:tab w:val="left" w:pos="440"/>
          <w:tab w:val="right" w:pos="9350"/>
        </w:tabs>
        <w:spacing w:after="100"/>
      </w:pPr>
      <w:hyperlink w:anchor="h.2et92p0">
        <w:r w:rsidR="00136838">
          <w:rPr>
            <w:color w:val="0563C1"/>
            <w:u w:val="single"/>
          </w:rPr>
          <w:t>4</w:t>
        </w:r>
      </w:hyperlink>
      <w:hyperlink w:anchor="h.2et92p0">
        <w:r w:rsidR="00136838">
          <w:tab/>
        </w:r>
      </w:hyperlink>
      <w:hyperlink w:anchor="h.2et92p0">
        <w:r w:rsidR="00136838">
          <w:rPr>
            <w:color w:val="0563C1"/>
            <w:u w:val="single"/>
          </w:rPr>
          <w:t>Planning Environment</w:t>
        </w:r>
      </w:hyperlink>
      <w:hyperlink w:anchor="h.2et92p0">
        <w:r w:rsidR="00136838">
          <w:tab/>
        </w:r>
      </w:hyperlink>
    </w:p>
    <w:p w:rsidR="00AD1889" w:rsidRDefault="00356BC7">
      <w:pPr>
        <w:tabs>
          <w:tab w:val="left" w:pos="440"/>
          <w:tab w:val="right" w:pos="9350"/>
        </w:tabs>
        <w:spacing w:after="100"/>
      </w:pPr>
      <w:hyperlink w:anchor="h.tyjcwt">
        <w:r w:rsidR="00136838">
          <w:rPr>
            <w:color w:val="0563C1"/>
            <w:u w:val="single"/>
          </w:rPr>
          <w:t>5</w:t>
        </w:r>
      </w:hyperlink>
      <w:hyperlink w:anchor="h.tyjcwt">
        <w:r w:rsidR="00136838">
          <w:tab/>
        </w:r>
      </w:hyperlink>
      <w:hyperlink w:anchor="h.tyjcwt">
        <w:r w:rsidR="00136838">
          <w:rPr>
            <w:color w:val="0563C1"/>
            <w:u w:val="single"/>
          </w:rPr>
          <w:t>College Snapshot</w:t>
        </w:r>
      </w:hyperlink>
      <w:hyperlink w:anchor="h.tyjcwt">
        <w:r w:rsidR="00136838">
          <w:tab/>
        </w:r>
      </w:hyperlink>
    </w:p>
    <w:p w:rsidR="00AD1889" w:rsidRDefault="00356BC7">
      <w:pPr>
        <w:tabs>
          <w:tab w:val="left" w:pos="440"/>
          <w:tab w:val="right" w:pos="9350"/>
        </w:tabs>
        <w:spacing w:after="100"/>
      </w:pPr>
      <w:hyperlink w:anchor="h.3dy6vkm">
        <w:r w:rsidR="00136838">
          <w:rPr>
            <w:color w:val="0563C1"/>
            <w:u w:val="single"/>
          </w:rPr>
          <w:t>6</w:t>
        </w:r>
      </w:hyperlink>
      <w:hyperlink w:anchor="h.3dy6vkm">
        <w:r w:rsidR="00136838">
          <w:tab/>
        </w:r>
      </w:hyperlink>
      <w:hyperlink w:anchor="h.3dy6vkm">
        <w:r w:rsidR="00136838">
          <w:rPr>
            <w:color w:val="0563C1"/>
            <w:u w:val="single"/>
          </w:rPr>
          <w:t>Growth of a Comprehensive Community College</w:t>
        </w:r>
      </w:hyperlink>
      <w:hyperlink w:anchor="h.3dy6vkm">
        <w:r w:rsidR="00136838">
          <w:tab/>
        </w:r>
      </w:hyperlink>
    </w:p>
    <w:p w:rsidR="00AD1889" w:rsidRDefault="00356BC7">
      <w:pPr>
        <w:tabs>
          <w:tab w:val="left" w:pos="440"/>
          <w:tab w:val="right" w:pos="9350"/>
        </w:tabs>
        <w:spacing w:after="100"/>
      </w:pPr>
      <w:hyperlink w:anchor="h.1t3h5sf">
        <w:r w:rsidR="00136838">
          <w:rPr>
            <w:color w:val="0563C1"/>
            <w:u w:val="single"/>
          </w:rPr>
          <w:t>7</w:t>
        </w:r>
      </w:hyperlink>
      <w:hyperlink w:anchor="h.1t3h5sf">
        <w:r w:rsidR="00136838">
          <w:tab/>
        </w:r>
      </w:hyperlink>
      <w:hyperlink w:anchor="h.1t3h5sf">
        <w:r w:rsidR="00136838">
          <w:rPr>
            <w:color w:val="0563C1"/>
            <w:u w:val="single"/>
          </w:rPr>
          <w:t>Appendices</w:t>
        </w:r>
      </w:hyperlink>
      <w:hyperlink w:anchor="h.1t3h5sf">
        <w:r w:rsidR="00136838">
          <w:tab/>
        </w:r>
      </w:hyperlink>
    </w:p>
    <w:p w:rsidR="00AD1889" w:rsidRDefault="00356BC7">
      <w:hyperlink w:anchor="_Toc445199776"/>
    </w:p>
    <w:p w:rsidR="00AD1889" w:rsidRDefault="00136838">
      <w:r>
        <w:rPr>
          <w:rFonts w:ascii="Arial" w:eastAsia="Arial" w:hAnsi="Arial" w:cs="Arial"/>
          <w:b/>
          <w:color w:val="FF0000"/>
        </w:rPr>
        <w:t>This will move to the front</w:t>
      </w:r>
    </w:p>
    <w:sectPr w:rsidR="00AD1889" w:rsidSect="0032023F">
      <w:pgSz w:w="12240" w:h="15840"/>
      <w:pgMar w:top="1440" w:right="1440" w:bottom="1170" w:left="1440"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BC7" w:rsidRDefault="00356BC7">
      <w:pPr>
        <w:spacing w:after="0" w:line="240" w:lineRule="auto"/>
      </w:pPr>
      <w:r>
        <w:separator/>
      </w:r>
    </w:p>
  </w:endnote>
  <w:endnote w:type="continuationSeparator" w:id="0">
    <w:p w:rsidR="00356BC7" w:rsidRDefault="0035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bin">
    <w:altName w:val="Times New Roman"/>
    <w:charset w:val="00"/>
    <w:family w:val="auto"/>
    <w:pitch w:val="default"/>
  </w:font>
  <w:font w:name="Jaeger Daily News">
    <w:altName w:val="Arial"/>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BC7" w:rsidRDefault="00356BC7" w:rsidP="0044767C">
    <w:pPr>
      <w:tabs>
        <w:tab w:val="center" w:pos="4680"/>
        <w:tab w:val="right" w:pos="9360"/>
      </w:tabs>
      <w:spacing w:after="720" w:line="240" w:lineRule="auto"/>
      <w:jc w:val="right"/>
    </w:pPr>
    <w:r>
      <w:fldChar w:fldCharType="begin"/>
    </w:r>
    <w:r>
      <w:instrText>PAGE</w:instrText>
    </w:r>
    <w:r>
      <w:fldChar w:fldCharType="separate"/>
    </w:r>
    <w:r w:rsidR="005A22E6">
      <w:rPr>
        <w:noProof/>
      </w:rPr>
      <w:t>85</w:t>
    </w:r>
    <w:r>
      <w:rPr>
        <w:noProof/>
      </w:rPr>
      <w:fldChar w:fldCharType="end"/>
    </w:r>
    <w:r>
      <w:t xml:space="preserve"> |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BC7" w:rsidRDefault="00356BC7">
      <w:pPr>
        <w:spacing w:after="0" w:line="240" w:lineRule="auto"/>
      </w:pPr>
      <w:r>
        <w:separator/>
      </w:r>
    </w:p>
  </w:footnote>
  <w:footnote w:type="continuationSeparator" w:id="0">
    <w:p w:rsidR="00356BC7" w:rsidRDefault="00356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BC7" w:rsidRDefault="00356BC7" w:rsidP="00D646BC">
    <w:pPr>
      <w:tabs>
        <w:tab w:val="center" w:pos="4680"/>
        <w:tab w:val="right" w:pos="9360"/>
      </w:tabs>
      <w:spacing w:before="120" w:after="240" w:line="240" w:lineRule="auto"/>
    </w:pPr>
    <w:r>
      <w:rPr>
        <w:noProof/>
      </w:rPr>
      <w:drawing>
        <wp:inline distT="0" distB="0" distL="114300" distR="114300">
          <wp:extent cx="1576575" cy="407954"/>
          <wp:effectExtent l="0" t="0" r="0" b="0"/>
          <wp:docPr id="5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576575" cy="407954"/>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F78"/>
    <w:multiLevelType w:val="hybridMultilevel"/>
    <w:tmpl w:val="25E2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5403"/>
    <w:multiLevelType w:val="hybridMultilevel"/>
    <w:tmpl w:val="8654B2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4195273"/>
    <w:multiLevelType w:val="hybridMultilevel"/>
    <w:tmpl w:val="77F46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428A5"/>
    <w:multiLevelType w:val="multilevel"/>
    <w:tmpl w:val="0AEA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A30C0"/>
    <w:multiLevelType w:val="hybridMultilevel"/>
    <w:tmpl w:val="D274454A"/>
    <w:lvl w:ilvl="0" w:tplc="C87A9424">
      <w:numFmt w:val="bullet"/>
      <w:lvlText w:val="•"/>
      <w:lvlJc w:val="left"/>
      <w:pPr>
        <w:ind w:left="720" w:hanging="360"/>
      </w:pPr>
      <w:rPr>
        <w:rFonts w:ascii="Calibri" w:eastAsiaTheme="minorHAnsi" w:hAnsi="Calibri" w:cstheme="minorBidi" w:hint="default"/>
      </w:rPr>
    </w:lvl>
    <w:lvl w:ilvl="1" w:tplc="C87A9424">
      <w:numFmt w:val="bullet"/>
      <w:lvlText w:val="•"/>
      <w:lvlJc w:val="left"/>
      <w:pPr>
        <w:ind w:left="1635" w:hanging="55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1072BB"/>
    <w:multiLevelType w:val="multilevel"/>
    <w:tmpl w:val="0AEA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E7415F"/>
    <w:multiLevelType w:val="hybridMultilevel"/>
    <w:tmpl w:val="3C8A0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AE16FB"/>
    <w:multiLevelType w:val="multilevel"/>
    <w:tmpl w:val="836AFA0E"/>
    <w:lvl w:ilvl="0">
      <w:start w:val="6"/>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320" w:firstLine="2880"/>
      </w:pPr>
    </w:lvl>
  </w:abstractNum>
  <w:abstractNum w:abstractNumId="8">
    <w:nsid w:val="0AB04527"/>
    <w:multiLevelType w:val="hybridMultilevel"/>
    <w:tmpl w:val="652CE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880169"/>
    <w:multiLevelType w:val="hybridMultilevel"/>
    <w:tmpl w:val="871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DB7A50"/>
    <w:multiLevelType w:val="multilevel"/>
    <w:tmpl w:val="400EAE80"/>
    <w:lvl w:ilvl="0">
      <w:start w:val="4"/>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320" w:firstLine="2880"/>
      </w:pPr>
    </w:lvl>
  </w:abstractNum>
  <w:abstractNum w:abstractNumId="11">
    <w:nsid w:val="13100199"/>
    <w:multiLevelType w:val="hybridMultilevel"/>
    <w:tmpl w:val="EDAC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13792"/>
    <w:multiLevelType w:val="hybridMultilevel"/>
    <w:tmpl w:val="3668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9874FF"/>
    <w:multiLevelType w:val="hybridMultilevel"/>
    <w:tmpl w:val="6BA62CBA"/>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B622E"/>
    <w:multiLevelType w:val="hybridMultilevel"/>
    <w:tmpl w:val="7FEAD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D60649"/>
    <w:multiLevelType w:val="hybridMultilevel"/>
    <w:tmpl w:val="A940A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3652E2"/>
    <w:multiLevelType w:val="hybridMultilevel"/>
    <w:tmpl w:val="BF82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894E69"/>
    <w:multiLevelType w:val="hybridMultilevel"/>
    <w:tmpl w:val="1B58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C00FF5"/>
    <w:multiLevelType w:val="hybridMultilevel"/>
    <w:tmpl w:val="C5AA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1A12E1"/>
    <w:multiLevelType w:val="hybridMultilevel"/>
    <w:tmpl w:val="FAAC5C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B31E81"/>
    <w:multiLevelType w:val="hybridMultilevel"/>
    <w:tmpl w:val="D88CF812"/>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7E6460"/>
    <w:multiLevelType w:val="hybridMultilevel"/>
    <w:tmpl w:val="8CECE324"/>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A248CB"/>
    <w:multiLevelType w:val="hybridMultilevel"/>
    <w:tmpl w:val="D3529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F40AC"/>
    <w:multiLevelType w:val="hybridMultilevel"/>
    <w:tmpl w:val="8C4E3164"/>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C22E86"/>
    <w:multiLevelType w:val="multilevel"/>
    <w:tmpl w:val="FD3461EA"/>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5">
    <w:nsid w:val="34C76ACF"/>
    <w:multiLevelType w:val="hybridMultilevel"/>
    <w:tmpl w:val="887EC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8181CCA"/>
    <w:multiLevelType w:val="hybridMultilevel"/>
    <w:tmpl w:val="391C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4B4C58"/>
    <w:multiLevelType w:val="hybridMultilevel"/>
    <w:tmpl w:val="3CE8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6215CA"/>
    <w:multiLevelType w:val="hybridMultilevel"/>
    <w:tmpl w:val="23FA82CE"/>
    <w:lvl w:ilvl="0" w:tplc="C87A942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E91027D"/>
    <w:multiLevelType w:val="hybridMultilevel"/>
    <w:tmpl w:val="4CB2AAFE"/>
    <w:lvl w:ilvl="0" w:tplc="C87A942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19E082E"/>
    <w:multiLevelType w:val="hybridMultilevel"/>
    <w:tmpl w:val="49BA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A22483"/>
    <w:multiLevelType w:val="hybridMultilevel"/>
    <w:tmpl w:val="EBC69B7C"/>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E83F96"/>
    <w:multiLevelType w:val="hybridMultilevel"/>
    <w:tmpl w:val="5ACE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E4779E"/>
    <w:multiLevelType w:val="hybridMultilevel"/>
    <w:tmpl w:val="991A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DC18B5"/>
    <w:multiLevelType w:val="multilevel"/>
    <w:tmpl w:val="2B76B4C8"/>
    <w:lvl w:ilvl="0">
      <w:start w:val="5"/>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35">
    <w:nsid w:val="4B956989"/>
    <w:multiLevelType w:val="hybridMultilevel"/>
    <w:tmpl w:val="F120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991A1F"/>
    <w:multiLevelType w:val="hybridMultilevel"/>
    <w:tmpl w:val="B55A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38453C"/>
    <w:multiLevelType w:val="hybridMultilevel"/>
    <w:tmpl w:val="BAD2949E"/>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B273E0"/>
    <w:multiLevelType w:val="hybridMultilevel"/>
    <w:tmpl w:val="75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FA6013"/>
    <w:multiLevelType w:val="hybridMultilevel"/>
    <w:tmpl w:val="8ABE4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12C47DB"/>
    <w:multiLevelType w:val="hybridMultilevel"/>
    <w:tmpl w:val="1F40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0533BC"/>
    <w:multiLevelType w:val="hybridMultilevel"/>
    <w:tmpl w:val="B0CAA9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5585F83"/>
    <w:multiLevelType w:val="multilevel"/>
    <w:tmpl w:val="BF0CC40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nsid w:val="56780F29"/>
    <w:multiLevelType w:val="multilevel"/>
    <w:tmpl w:val="704A5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7907CCB"/>
    <w:multiLevelType w:val="multilevel"/>
    <w:tmpl w:val="FD3461EA"/>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45">
    <w:nsid w:val="5B157AC8"/>
    <w:multiLevelType w:val="hybridMultilevel"/>
    <w:tmpl w:val="253A71E2"/>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E36F54"/>
    <w:multiLevelType w:val="multilevel"/>
    <w:tmpl w:val="54EAF6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D891E23"/>
    <w:multiLevelType w:val="hybridMultilevel"/>
    <w:tmpl w:val="B3A2F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104BCF"/>
    <w:multiLevelType w:val="hybridMultilevel"/>
    <w:tmpl w:val="200E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62706E"/>
    <w:multiLevelType w:val="hybridMultilevel"/>
    <w:tmpl w:val="9012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F55764"/>
    <w:multiLevelType w:val="hybridMultilevel"/>
    <w:tmpl w:val="C416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56586C"/>
    <w:multiLevelType w:val="hybridMultilevel"/>
    <w:tmpl w:val="D65C3B96"/>
    <w:lvl w:ilvl="0" w:tplc="C87A942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7B37CF"/>
    <w:multiLevelType w:val="hybridMultilevel"/>
    <w:tmpl w:val="A0E6FFCE"/>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1F4066"/>
    <w:multiLevelType w:val="hybridMultilevel"/>
    <w:tmpl w:val="F66296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83A430D"/>
    <w:multiLevelType w:val="hybridMultilevel"/>
    <w:tmpl w:val="F1D4D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6A633873"/>
    <w:multiLevelType w:val="hybridMultilevel"/>
    <w:tmpl w:val="2A404040"/>
    <w:lvl w:ilvl="0" w:tplc="C87A9424">
      <w:numFmt w:val="bullet"/>
      <w:lvlText w:val="•"/>
      <w:lvlJc w:val="left"/>
      <w:pPr>
        <w:ind w:left="720" w:hanging="360"/>
      </w:pPr>
      <w:rPr>
        <w:rFonts w:ascii="Calibri" w:eastAsiaTheme="minorHAnsi" w:hAnsi="Calibri" w:cstheme="minorBidi" w:hint="default"/>
      </w:rPr>
    </w:lvl>
    <w:lvl w:ilvl="1" w:tplc="55EEEF9E">
      <w:start w:val="11"/>
      <w:numFmt w:val="bullet"/>
      <w:lvlText w:val="·"/>
      <w:lvlJc w:val="left"/>
      <w:pPr>
        <w:ind w:left="1635" w:hanging="555"/>
      </w:pPr>
      <w:rPr>
        <w:rFonts w:ascii="Calibri" w:eastAsia="Arial"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CE33E0"/>
    <w:multiLevelType w:val="hybridMultilevel"/>
    <w:tmpl w:val="8864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486A59"/>
    <w:multiLevelType w:val="hybridMultilevel"/>
    <w:tmpl w:val="3A3A4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AC6655"/>
    <w:multiLevelType w:val="hybridMultilevel"/>
    <w:tmpl w:val="26DE6C12"/>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257891"/>
    <w:multiLevelType w:val="hybridMultilevel"/>
    <w:tmpl w:val="5BF2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212E7E"/>
    <w:multiLevelType w:val="multilevel"/>
    <w:tmpl w:val="928A4EA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1">
    <w:nsid w:val="6F487B85"/>
    <w:multiLevelType w:val="hybridMultilevel"/>
    <w:tmpl w:val="7C74F7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F5279C5"/>
    <w:multiLevelType w:val="hybridMultilevel"/>
    <w:tmpl w:val="AA8EA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386143"/>
    <w:multiLevelType w:val="hybridMultilevel"/>
    <w:tmpl w:val="1E42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B819C8"/>
    <w:multiLevelType w:val="multilevel"/>
    <w:tmpl w:val="0AEA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61491C"/>
    <w:multiLevelType w:val="hybridMultilevel"/>
    <w:tmpl w:val="19FE7F28"/>
    <w:lvl w:ilvl="0" w:tplc="C87A942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1424BE"/>
    <w:multiLevelType w:val="hybridMultilevel"/>
    <w:tmpl w:val="96F24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625CFB"/>
    <w:multiLevelType w:val="hybridMultilevel"/>
    <w:tmpl w:val="FCD63BE8"/>
    <w:lvl w:ilvl="0" w:tplc="C87A94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DA41E3"/>
    <w:multiLevelType w:val="hybridMultilevel"/>
    <w:tmpl w:val="B69A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836FE6"/>
    <w:multiLevelType w:val="hybridMultilevel"/>
    <w:tmpl w:val="4FA2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42"/>
  </w:num>
  <w:num w:numId="4">
    <w:abstractNumId w:val="60"/>
  </w:num>
  <w:num w:numId="5">
    <w:abstractNumId w:val="46"/>
  </w:num>
  <w:num w:numId="6">
    <w:abstractNumId w:val="34"/>
  </w:num>
  <w:num w:numId="7">
    <w:abstractNumId w:val="10"/>
  </w:num>
  <w:num w:numId="8">
    <w:abstractNumId w:val="43"/>
  </w:num>
  <w:num w:numId="9">
    <w:abstractNumId w:val="37"/>
  </w:num>
  <w:num w:numId="10">
    <w:abstractNumId w:val="51"/>
  </w:num>
  <w:num w:numId="11">
    <w:abstractNumId w:val="58"/>
  </w:num>
  <w:num w:numId="12">
    <w:abstractNumId w:val="45"/>
  </w:num>
  <w:num w:numId="13">
    <w:abstractNumId w:val="29"/>
  </w:num>
  <w:num w:numId="14">
    <w:abstractNumId w:val="20"/>
  </w:num>
  <w:num w:numId="15">
    <w:abstractNumId w:val="52"/>
  </w:num>
  <w:num w:numId="16">
    <w:abstractNumId w:val="23"/>
  </w:num>
  <w:num w:numId="17">
    <w:abstractNumId w:val="65"/>
  </w:num>
  <w:num w:numId="18">
    <w:abstractNumId w:val="55"/>
  </w:num>
  <w:num w:numId="19">
    <w:abstractNumId w:val="21"/>
  </w:num>
  <w:num w:numId="20">
    <w:abstractNumId w:val="4"/>
  </w:num>
  <w:num w:numId="21">
    <w:abstractNumId w:val="31"/>
  </w:num>
  <w:num w:numId="22">
    <w:abstractNumId w:val="13"/>
  </w:num>
  <w:num w:numId="23">
    <w:abstractNumId w:val="67"/>
  </w:num>
  <w:num w:numId="24">
    <w:abstractNumId w:val="40"/>
  </w:num>
  <w:num w:numId="25">
    <w:abstractNumId w:val="69"/>
  </w:num>
  <w:num w:numId="26">
    <w:abstractNumId w:val="47"/>
  </w:num>
  <w:num w:numId="27">
    <w:abstractNumId w:val="1"/>
  </w:num>
  <w:num w:numId="28">
    <w:abstractNumId w:val="36"/>
  </w:num>
  <w:num w:numId="29">
    <w:abstractNumId w:val="30"/>
  </w:num>
  <w:num w:numId="30">
    <w:abstractNumId w:val="53"/>
  </w:num>
  <w:num w:numId="31">
    <w:abstractNumId w:val="18"/>
  </w:num>
  <w:num w:numId="32">
    <w:abstractNumId w:val="12"/>
  </w:num>
  <w:num w:numId="33">
    <w:abstractNumId w:val="27"/>
  </w:num>
  <w:num w:numId="34">
    <w:abstractNumId w:val="56"/>
  </w:num>
  <w:num w:numId="35">
    <w:abstractNumId w:val="35"/>
  </w:num>
  <w:num w:numId="36">
    <w:abstractNumId w:val="32"/>
  </w:num>
  <w:num w:numId="37">
    <w:abstractNumId w:val="48"/>
  </w:num>
  <w:num w:numId="38">
    <w:abstractNumId w:val="26"/>
  </w:num>
  <w:num w:numId="39">
    <w:abstractNumId w:val="49"/>
  </w:num>
  <w:num w:numId="40">
    <w:abstractNumId w:val="61"/>
  </w:num>
  <w:num w:numId="41">
    <w:abstractNumId w:val="28"/>
  </w:num>
  <w:num w:numId="42">
    <w:abstractNumId w:val="39"/>
  </w:num>
  <w:num w:numId="43">
    <w:abstractNumId w:val="25"/>
  </w:num>
  <w:num w:numId="44">
    <w:abstractNumId w:val="62"/>
  </w:num>
  <w:num w:numId="45">
    <w:abstractNumId w:val="0"/>
  </w:num>
  <w:num w:numId="46">
    <w:abstractNumId w:val="63"/>
  </w:num>
  <w:num w:numId="47">
    <w:abstractNumId w:val="8"/>
  </w:num>
  <w:num w:numId="48">
    <w:abstractNumId w:val="50"/>
  </w:num>
  <w:num w:numId="49">
    <w:abstractNumId w:val="41"/>
  </w:num>
  <w:num w:numId="50">
    <w:abstractNumId w:val="14"/>
  </w:num>
  <w:num w:numId="51">
    <w:abstractNumId w:val="38"/>
  </w:num>
  <w:num w:numId="52">
    <w:abstractNumId w:val="17"/>
  </w:num>
  <w:num w:numId="53">
    <w:abstractNumId w:val="22"/>
  </w:num>
  <w:num w:numId="54">
    <w:abstractNumId w:val="57"/>
  </w:num>
  <w:num w:numId="55">
    <w:abstractNumId w:val="6"/>
  </w:num>
  <w:num w:numId="56">
    <w:abstractNumId w:val="3"/>
  </w:num>
  <w:num w:numId="57">
    <w:abstractNumId w:val="64"/>
  </w:num>
  <w:num w:numId="58">
    <w:abstractNumId w:val="5"/>
  </w:num>
  <w:num w:numId="59">
    <w:abstractNumId w:val="19"/>
  </w:num>
  <w:num w:numId="60">
    <w:abstractNumId w:val="9"/>
  </w:num>
  <w:num w:numId="61">
    <w:abstractNumId w:val="11"/>
  </w:num>
  <w:num w:numId="62">
    <w:abstractNumId w:val="59"/>
  </w:num>
  <w:num w:numId="63">
    <w:abstractNumId w:val="2"/>
  </w:num>
  <w:num w:numId="64">
    <w:abstractNumId w:val="15"/>
  </w:num>
  <w:num w:numId="65">
    <w:abstractNumId w:val="68"/>
  </w:num>
  <w:num w:numId="66">
    <w:abstractNumId w:val="66"/>
  </w:num>
  <w:num w:numId="67">
    <w:abstractNumId w:val="44"/>
  </w:num>
  <w:num w:numId="68">
    <w:abstractNumId w:val="16"/>
  </w:num>
  <w:num w:numId="69">
    <w:abstractNumId w:val="33"/>
  </w:num>
  <w:num w:numId="70">
    <w:abstractNumId w:val="54"/>
    <w:lvlOverride w:ilvl="0"/>
    <w:lvlOverride w:ilvl="1"/>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D1889"/>
    <w:rsid w:val="00002F66"/>
    <w:rsid w:val="0003584F"/>
    <w:rsid w:val="00041EE7"/>
    <w:rsid w:val="00044EF5"/>
    <w:rsid w:val="000600EF"/>
    <w:rsid w:val="00093295"/>
    <w:rsid w:val="00095B19"/>
    <w:rsid w:val="000A60F1"/>
    <w:rsid w:val="000A65F1"/>
    <w:rsid w:val="000C3D61"/>
    <w:rsid w:val="000C3E45"/>
    <w:rsid w:val="000D7D25"/>
    <w:rsid w:val="000D7D4A"/>
    <w:rsid w:val="000E1AC5"/>
    <w:rsid w:val="001040AB"/>
    <w:rsid w:val="0010631B"/>
    <w:rsid w:val="0011640F"/>
    <w:rsid w:val="00130264"/>
    <w:rsid w:val="00136838"/>
    <w:rsid w:val="00136E16"/>
    <w:rsid w:val="00140EB7"/>
    <w:rsid w:val="00152425"/>
    <w:rsid w:val="00184ED2"/>
    <w:rsid w:val="00193862"/>
    <w:rsid w:val="00196FA5"/>
    <w:rsid w:val="001A17B8"/>
    <w:rsid w:val="001A53E5"/>
    <w:rsid w:val="001B4F65"/>
    <w:rsid w:val="001B5114"/>
    <w:rsid w:val="001B5A84"/>
    <w:rsid w:val="001C6FAE"/>
    <w:rsid w:val="001E7A96"/>
    <w:rsid w:val="001F7548"/>
    <w:rsid w:val="00224CDE"/>
    <w:rsid w:val="00230A28"/>
    <w:rsid w:val="00233CFC"/>
    <w:rsid w:val="002354AF"/>
    <w:rsid w:val="00246D5D"/>
    <w:rsid w:val="00253DE5"/>
    <w:rsid w:val="00254671"/>
    <w:rsid w:val="0026014C"/>
    <w:rsid w:val="00274F37"/>
    <w:rsid w:val="002817A1"/>
    <w:rsid w:val="0028426F"/>
    <w:rsid w:val="00290289"/>
    <w:rsid w:val="00294CF5"/>
    <w:rsid w:val="00294E15"/>
    <w:rsid w:val="002A3C77"/>
    <w:rsid w:val="002B079E"/>
    <w:rsid w:val="002B2EB8"/>
    <w:rsid w:val="002C1B21"/>
    <w:rsid w:val="002C3D2B"/>
    <w:rsid w:val="002C5023"/>
    <w:rsid w:val="002C66DE"/>
    <w:rsid w:val="002D07AB"/>
    <w:rsid w:val="002D51B0"/>
    <w:rsid w:val="002D65B7"/>
    <w:rsid w:val="002F4B78"/>
    <w:rsid w:val="00303861"/>
    <w:rsid w:val="00312426"/>
    <w:rsid w:val="00312CE6"/>
    <w:rsid w:val="0032023F"/>
    <w:rsid w:val="00321069"/>
    <w:rsid w:val="00352C89"/>
    <w:rsid w:val="00354717"/>
    <w:rsid w:val="00356BC7"/>
    <w:rsid w:val="0037778F"/>
    <w:rsid w:val="003810F0"/>
    <w:rsid w:val="00386F8A"/>
    <w:rsid w:val="0043271F"/>
    <w:rsid w:val="0044767C"/>
    <w:rsid w:val="004558CA"/>
    <w:rsid w:val="00464663"/>
    <w:rsid w:val="00486F2C"/>
    <w:rsid w:val="00487664"/>
    <w:rsid w:val="004D3301"/>
    <w:rsid w:val="004D33B2"/>
    <w:rsid w:val="004E45C2"/>
    <w:rsid w:val="004E5DFB"/>
    <w:rsid w:val="00502F71"/>
    <w:rsid w:val="00512575"/>
    <w:rsid w:val="00522FDC"/>
    <w:rsid w:val="00537BD5"/>
    <w:rsid w:val="005444B2"/>
    <w:rsid w:val="005455AF"/>
    <w:rsid w:val="00551094"/>
    <w:rsid w:val="005536F8"/>
    <w:rsid w:val="00553F23"/>
    <w:rsid w:val="00555F4B"/>
    <w:rsid w:val="0055724D"/>
    <w:rsid w:val="005619E8"/>
    <w:rsid w:val="00583063"/>
    <w:rsid w:val="005834E2"/>
    <w:rsid w:val="005A22E6"/>
    <w:rsid w:val="005B02D5"/>
    <w:rsid w:val="005B1D21"/>
    <w:rsid w:val="005C18F7"/>
    <w:rsid w:val="005C505D"/>
    <w:rsid w:val="005D2C17"/>
    <w:rsid w:val="005E1191"/>
    <w:rsid w:val="005E4864"/>
    <w:rsid w:val="005F4898"/>
    <w:rsid w:val="00602C7F"/>
    <w:rsid w:val="006139BC"/>
    <w:rsid w:val="00630634"/>
    <w:rsid w:val="0066070A"/>
    <w:rsid w:val="0066771E"/>
    <w:rsid w:val="006766B7"/>
    <w:rsid w:val="00683FD8"/>
    <w:rsid w:val="0069497E"/>
    <w:rsid w:val="00694BCD"/>
    <w:rsid w:val="006C008F"/>
    <w:rsid w:val="006C0094"/>
    <w:rsid w:val="006C4248"/>
    <w:rsid w:val="006D5C1E"/>
    <w:rsid w:val="006D7A9D"/>
    <w:rsid w:val="00705C70"/>
    <w:rsid w:val="007078A0"/>
    <w:rsid w:val="00721F6D"/>
    <w:rsid w:val="00734598"/>
    <w:rsid w:val="0076780D"/>
    <w:rsid w:val="00772E54"/>
    <w:rsid w:val="007738B0"/>
    <w:rsid w:val="00775E5A"/>
    <w:rsid w:val="00793F65"/>
    <w:rsid w:val="00796073"/>
    <w:rsid w:val="007A15B2"/>
    <w:rsid w:val="007A6E02"/>
    <w:rsid w:val="007A71CE"/>
    <w:rsid w:val="007B1E16"/>
    <w:rsid w:val="007B3DD4"/>
    <w:rsid w:val="007C650D"/>
    <w:rsid w:val="007D4BD4"/>
    <w:rsid w:val="007F0061"/>
    <w:rsid w:val="0081032A"/>
    <w:rsid w:val="00821B94"/>
    <w:rsid w:val="00822DAC"/>
    <w:rsid w:val="0082430B"/>
    <w:rsid w:val="008349F0"/>
    <w:rsid w:val="008502C1"/>
    <w:rsid w:val="0085258C"/>
    <w:rsid w:val="00855D24"/>
    <w:rsid w:val="00861AAF"/>
    <w:rsid w:val="00862DFC"/>
    <w:rsid w:val="00881F56"/>
    <w:rsid w:val="00882FFD"/>
    <w:rsid w:val="008871BB"/>
    <w:rsid w:val="008B24BF"/>
    <w:rsid w:val="008B3331"/>
    <w:rsid w:val="008D6ACD"/>
    <w:rsid w:val="008F1BBA"/>
    <w:rsid w:val="008F515F"/>
    <w:rsid w:val="008F6684"/>
    <w:rsid w:val="0090010D"/>
    <w:rsid w:val="0090478F"/>
    <w:rsid w:val="0090609D"/>
    <w:rsid w:val="009142FF"/>
    <w:rsid w:val="009257A5"/>
    <w:rsid w:val="00937314"/>
    <w:rsid w:val="00940B12"/>
    <w:rsid w:val="00946FD7"/>
    <w:rsid w:val="009C348E"/>
    <w:rsid w:val="009C478F"/>
    <w:rsid w:val="009D59FF"/>
    <w:rsid w:val="009E2A80"/>
    <w:rsid w:val="009F529D"/>
    <w:rsid w:val="00A1002A"/>
    <w:rsid w:val="00A17263"/>
    <w:rsid w:val="00A2697E"/>
    <w:rsid w:val="00A305C1"/>
    <w:rsid w:val="00A35C92"/>
    <w:rsid w:val="00A465D8"/>
    <w:rsid w:val="00A75970"/>
    <w:rsid w:val="00A816B4"/>
    <w:rsid w:val="00A85FF0"/>
    <w:rsid w:val="00AC5E72"/>
    <w:rsid w:val="00AD14B6"/>
    <w:rsid w:val="00AD1889"/>
    <w:rsid w:val="00AD338E"/>
    <w:rsid w:val="00AE60B4"/>
    <w:rsid w:val="00AE6AE9"/>
    <w:rsid w:val="00AF32DE"/>
    <w:rsid w:val="00BA5FD8"/>
    <w:rsid w:val="00BB12C1"/>
    <w:rsid w:val="00BB707C"/>
    <w:rsid w:val="00BE6C79"/>
    <w:rsid w:val="00BF50A8"/>
    <w:rsid w:val="00BF72F8"/>
    <w:rsid w:val="00C22F77"/>
    <w:rsid w:val="00C24D48"/>
    <w:rsid w:val="00C25C49"/>
    <w:rsid w:val="00C2691C"/>
    <w:rsid w:val="00C42466"/>
    <w:rsid w:val="00C457CE"/>
    <w:rsid w:val="00C518C7"/>
    <w:rsid w:val="00C5386B"/>
    <w:rsid w:val="00C553B2"/>
    <w:rsid w:val="00C6488F"/>
    <w:rsid w:val="00C654F4"/>
    <w:rsid w:val="00C65FCF"/>
    <w:rsid w:val="00C87C7C"/>
    <w:rsid w:val="00C92E6F"/>
    <w:rsid w:val="00CA18FE"/>
    <w:rsid w:val="00CA597B"/>
    <w:rsid w:val="00CB088D"/>
    <w:rsid w:val="00CC1B21"/>
    <w:rsid w:val="00CC34E7"/>
    <w:rsid w:val="00CC771E"/>
    <w:rsid w:val="00CE4964"/>
    <w:rsid w:val="00D03372"/>
    <w:rsid w:val="00D1146B"/>
    <w:rsid w:val="00D11832"/>
    <w:rsid w:val="00D11F89"/>
    <w:rsid w:val="00D130BC"/>
    <w:rsid w:val="00D13365"/>
    <w:rsid w:val="00D257F2"/>
    <w:rsid w:val="00D32976"/>
    <w:rsid w:val="00D526CD"/>
    <w:rsid w:val="00D56D39"/>
    <w:rsid w:val="00D63227"/>
    <w:rsid w:val="00D6358B"/>
    <w:rsid w:val="00D646BC"/>
    <w:rsid w:val="00D71EEC"/>
    <w:rsid w:val="00D83FC6"/>
    <w:rsid w:val="00D9315A"/>
    <w:rsid w:val="00DB068D"/>
    <w:rsid w:val="00DD073F"/>
    <w:rsid w:val="00DD39FA"/>
    <w:rsid w:val="00DE3088"/>
    <w:rsid w:val="00DF1869"/>
    <w:rsid w:val="00E12619"/>
    <w:rsid w:val="00E228F9"/>
    <w:rsid w:val="00E229B3"/>
    <w:rsid w:val="00E24454"/>
    <w:rsid w:val="00E30CA3"/>
    <w:rsid w:val="00E315CA"/>
    <w:rsid w:val="00E55B94"/>
    <w:rsid w:val="00E71BC2"/>
    <w:rsid w:val="00E80CA0"/>
    <w:rsid w:val="00E81B07"/>
    <w:rsid w:val="00E85258"/>
    <w:rsid w:val="00E87775"/>
    <w:rsid w:val="00EA09BF"/>
    <w:rsid w:val="00EB2ECD"/>
    <w:rsid w:val="00EB54AD"/>
    <w:rsid w:val="00ED64C1"/>
    <w:rsid w:val="00F124CF"/>
    <w:rsid w:val="00F128EB"/>
    <w:rsid w:val="00F22FCB"/>
    <w:rsid w:val="00F35F0D"/>
    <w:rsid w:val="00F40E27"/>
    <w:rsid w:val="00F50941"/>
    <w:rsid w:val="00F723F6"/>
    <w:rsid w:val="00F84EDE"/>
    <w:rsid w:val="00F9236A"/>
    <w:rsid w:val="00F97EB4"/>
    <w:rsid w:val="00FA52F3"/>
    <w:rsid w:val="00FB2AF8"/>
    <w:rsid w:val="00FB6DA3"/>
    <w:rsid w:val="00FB7CA6"/>
    <w:rsid w:val="00FC225F"/>
    <w:rsid w:val="00FC28E7"/>
    <w:rsid w:val="00FC3753"/>
    <w:rsid w:val="00FC5D85"/>
    <w:rsid w:val="00FE222F"/>
    <w:rsid w:val="00FE4AEB"/>
    <w:rsid w:val="00FF3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bin" w:eastAsia="Cabin" w:hAnsi="Cabin" w:cs="Cabin"/>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536F8"/>
  </w:style>
  <w:style w:type="paragraph" w:styleId="Heading1">
    <w:name w:val="heading 1"/>
    <w:basedOn w:val="Normal"/>
    <w:next w:val="Normal"/>
    <w:rsid w:val="005536F8"/>
    <w:pPr>
      <w:keepNext/>
      <w:keepLines/>
      <w:spacing w:before="360"/>
      <w:ind w:left="432" w:hanging="432"/>
      <w:outlineLvl w:val="0"/>
    </w:pPr>
    <w:rPr>
      <w:rFonts w:ascii="Jaeger Daily News" w:eastAsia="Jaeger Daily News" w:hAnsi="Jaeger Daily News" w:cs="Jaeger Daily News"/>
      <w:b/>
      <w:smallCaps/>
      <w:sz w:val="36"/>
      <w:szCs w:val="36"/>
    </w:rPr>
  </w:style>
  <w:style w:type="paragraph" w:styleId="Heading2">
    <w:name w:val="heading 2"/>
    <w:basedOn w:val="Normal"/>
    <w:next w:val="Normal"/>
    <w:rsid w:val="005536F8"/>
    <w:pPr>
      <w:keepNext/>
      <w:keepLines/>
      <w:spacing w:before="360" w:after="0"/>
      <w:ind w:left="576" w:hanging="576"/>
      <w:outlineLvl w:val="1"/>
    </w:pPr>
    <w:rPr>
      <w:rFonts w:ascii="Jaeger Daily News" w:eastAsia="Jaeger Daily News" w:hAnsi="Jaeger Daily News" w:cs="Jaeger Daily News"/>
      <w:b/>
      <w:smallCaps/>
      <w:sz w:val="28"/>
      <w:szCs w:val="28"/>
    </w:rPr>
  </w:style>
  <w:style w:type="paragraph" w:styleId="Heading3">
    <w:name w:val="heading 3"/>
    <w:basedOn w:val="Normal"/>
    <w:next w:val="Normal"/>
    <w:rsid w:val="005536F8"/>
    <w:pPr>
      <w:keepNext/>
      <w:keepLines/>
      <w:spacing w:before="200" w:after="0"/>
      <w:ind w:left="720" w:hanging="720"/>
      <w:outlineLvl w:val="2"/>
    </w:pPr>
    <w:rPr>
      <w:rFonts w:ascii="Jaeger Daily News" w:eastAsia="Jaeger Daily News" w:hAnsi="Jaeger Daily News" w:cs="Jaeger Daily News"/>
      <w:b/>
    </w:rPr>
  </w:style>
  <w:style w:type="paragraph" w:styleId="Heading4">
    <w:name w:val="heading 4"/>
    <w:basedOn w:val="Normal"/>
    <w:next w:val="Normal"/>
    <w:rsid w:val="005536F8"/>
    <w:pPr>
      <w:keepNext/>
      <w:keepLines/>
      <w:spacing w:before="200" w:after="0"/>
      <w:ind w:left="864" w:hanging="864"/>
      <w:outlineLvl w:val="3"/>
    </w:pPr>
    <w:rPr>
      <w:rFonts w:ascii="Jaeger Daily News" w:eastAsia="Jaeger Daily News" w:hAnsi="Jaeger Daily News" w:cs="Jaeger Daily News"/>
      <w:b/>
      <w:i/>
    </w:rPr>
  </w:style>
  <w:style w:type="paragraph" w:styleId="Heading5">
    <w:name w:val="heading 5"/>
    <w:basedOn w:val="Normal"/>
    <w:next w:val="Normal"/>
    <w:rsid w:val="005536F8"/>
    <w:pPr>
      <w:keepNext/>
      <w:keepLines/>
      <w:spacing w:before="200" w:after="0"/>
      <w:ind w:left="1008" w:hanging="1008"/>
      <w:outlineLvl w:val="4"/>
    </w:pPr>
    <w:rPr>
      <w:rFonts w:ascii="Jaeger Daily News" w:eastAsia="Jaeger Daily News" w:hAnsi="Jaeger Daily News" w:cs="Jaeger Daily News"/>
    </w:rPr>
  </w:style>
  <w:style w:type="paragraph" w:styleId="Heading6">
    <w:name w:val="heading 6"/>
    <w:basedOn w:val="Normal"/>
    <w:next w:val="Normal"/>
    <w:rsid w:val="005536F8"/>
    <w:pPr>
      <w:keepNext/>
      <w:keepLines/>
      <w:spacing w:before="200" w:after="0"/>
      <w:ind w:left="1152" w:hanging="1152"/>
      <w:outlineLvl w:val="5"/>
    </w:pPr>
    <w:rPr>
      <w:rFonts w:ascii="Jaeger Daily News" w:eastAsia="Jaeger Daily News" w:hAnsi="Jaeger Daily News" w:cs="Jaeger Daily New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536F8"/>
    <w:pPr>
      <w:keepNext/>
      <w:keepLines/>
      <w:spacing w:after="0" w:line="240" w:lineRule="auto"/>
    </w:pPr>
    <w:rPr>
      <w:rFonts w:ascii="Jaeger Daily News" w:eastAsia="Jaeger Daily News" w:hAnsi="Jaeger Daily News" w:cs="Jaeger Daily News"/>
      <w:sz w:val="56"/>
      <w:szCs w:val="56"/>
    </w:rPr>
  </w:style>
  <w:style w:type="paragraph" w:styleId="Subtitle">
    <w:name w:val="Subtitle"/>
    <w:basedOn w:val="Normal"/>
    <w:next w:val="Normal"/>
    <w:rsid w:val="005536F8"/>
    <w:pPr>
      <w:keepNext/>
      <w:keepLines/>
    </w:pPr>
    <w:rPr>
      <w:i/>
      <w:color w:val="666666"/>
    </w:rPr>
  </w:style>
  <w:style w:type="table" w:customStyle="1" w:styleId="a">
    <w:basedOn w:val="TableNormal"/>
    <w:rsid w:val="005536F8"/>
    <w:tblPr>
      <w:tblStyleRowBandSize w:val="1"/>
      <w:tblStyleColBandSize w:val="1"/>
    </w:tblPr>
  </w:style>
  <w:style w:type="table" w:customStyle="1" w:styleId="a0">
    <w:basedOn w:val="TableNormal"/>
    <w:rsid w:val="005536F8"/>
    <w:tblPr>
      <w:tblStyleRowBandSize w:val="1"/>
      <w:tblStyleColBandSize w:val="1"/>
    </w:tblPr>
  </w:style>
  <w:style w:type="table" w:customStyle="1" w:styleId="a1">
    <w:basedOn w:val="TableNormal"/>
    <w:rsid w:val="005536F8"/>
    <w:tblPr>
      <w:tblStyleRowBandSize w:val="1"/>
      <w:tblStyleColBandSize w:val="1"/>
    </w:tblPr>
  </w:style>
  <w:style w:type="table" w:customStyle="1" w:styleId="a2">
    <w:basedOn w:val="TableNormal"/>
    <w:rsid w:val="005536F8"/>
    <w:tblPr>
      <w:tblStyleRowBandSize w:val="1"/>
      <w:tblStyleColBandSize w:val="1"/>
    </w:tblPr>
  </w:style>
  <w:style w:type="table" w:customStyle="1" w:styleId="a3">
    <w:basedOn w:val="TableNormal"/>
    <w:rsid w:val="005536F8"/>
    <w:tblPr>
      <w:tblStyleRowBandSize w:val="1"/>
      <w:tblStyleColBandSize w:val="1"/>
    </w:tblPr>
  </w:style>
  <w:style w:type="table" w:customStyle="1" w:styleId="a4">
    <w:basedOn w:val="TableNormal"/>
    <w:rsid w:val="005536F8"/>
    <w:tblPr>
      <w:tblStyleRowBandSize w:val="1"/>
      <w:tblStyleColBandSize w:val="1"/>
    </w:tblPr>
  </w:style>
  <w:style w:type="table" w:customStyle="1" w:styleId="a5">
    <w:basedOn w:val="TableNormal"/>
    <w:rsid w:val="005536F8"/>
    <w:tblPr>
      <w:tblStyleRowBandSize w:val="1"/>
      <w:tblStyleColBandSize w:val="1"/>
    </w:tblPr>
  </w:style>
  <w:style w:type="table" w:customStyle="1" w:styleId="a6">
    <w:basedOn w:val="TableNormal"/>
    <w:rsid w:val="005536F8"/>
    <w:tblPr>
      <w:tblStyleRowBandSize w:val="1"/>
      <w:tblStyleColBandSize w:val="1"/>
    </w:tblPr>
  </w:style>
  <w:style w:type="table" w:customStyle="1" w:styleId="a7">
    <w:basedOn w:val="TableNormal"/>
    <w:rsid w:val="005536F8"/>
    <w:tblPr>
      <w:tblStyleRowBandSize w:val="1"/>
      <w:tblStyleColBandSize w:val="1"/>
    </w:tblPr>
  </w:style>
  <w:style w:type="table" w:customStyle="1" w:styleId="a8">
    <w:basedOn w:val="TableNormal"/>
    <w:rsid w:val="005536F8"/>
    <w:tblPr>
      <w:tblStyleRowBandSize w:val="1"/>
      <w:tblStyleColBandSize w:val="1"/>
    </w:tblPr>
  </w:style>
  <w:style w:type="table" w:customStyle="1" w:styleId="a9">
    <w:basedOn w:val="TableNormal"/>
    <w:rsid w:val="005536F8"/>
    <w:tblPr>
      <w:tblStyleRowBandSize w:val="1"/>
      <w:tblStyleColBandSize w:val="1"/>
    </w:tblPr>
  </w:style>
  <w:style w:type="table" w:customStyle="1" w:styleId="aa">
    <w:basedOn w:val="TableNormal"/>
    <w:rsid w:val="005536F8"/>
    <w:tblPr>
      <w:tblStyleRowBandSize w:val="1"/>
      <w:tblStyleColBandSize w:val="1"/>
    </w:tblPr>
  </w:style>
  <w:style w:type="table" w:customStyle="1" w:styleId="ab">
    <w:basedOn w:val="TableNormal"/>
    <w:rsid w:val="005536F8"/>
    <w:tblPr>
      <w:tblStyleRowBandSize w:val="1"/>
      <w:tblStyleColBandSize w:val="1"/>
    </w:tblPr>
  </w:style>
  <w:style w:type="table" w:customStyle="1" w:styleId="ac">
    <w:basedOn w:val="TableNormal"/>
    <w:rsid w:val="005536F8"/>
    <w:tblPr>
      <w:tblStyleRowBandSize w:val="1"/>
      <w:tblStyleColBandSize w:val="1"/>
    </w:tblPr>
  </w:style>
  <w:style w:type="table" w:customStyle="1" w:styleId="ad">
    <w:basedOn w:val="TableNormal"/>
    <w:rsid w:val="005536F8"/>
    <w:tblPr>
      <w:tblStyleRowBandSize w:val="1"/>
      <w:tblStyleColBandSize w:val="1"/>
    </w:tblPr>
  </w:style>
  <w:style w:type="table" w:customStyle="1" w:styleId="ae">
    <w:basedOn w:val="TableNormal"/>
    <w:rsid w:val="005536F8"/>
    <w:tblPr>
      <w:tblStyleRowBandSize w:val="1"/>
      <w:tblStyleColBandSize w:val="1"/>
    </w:tblPr>
  </w:style>
  <w:style w:type="table" w:customStyle="1" w:styleId="af">
    <w:basedOn w:val="TableNormal"/>
    <w:rsid w:val="005536F8"/>
    <w:tblPr>
      <w:tblStyleRowBandSize w:val="1"/>
      <w:tblStyleColBandSize w:val="1"/>
    </w:tblPr>
  </w:style>
  <w:style w:type="table" w:customStyle="1" w:styleId="af0">
    <w:basedOn w:val="TableNormal"/>
    <w:rsid w:val="005536F8"/>
    <w:tblPr>
      <w:tblStyleRowBandSize w:val="1"/>
      <w:tblStyleColBandSize w:val="1"/>
    </w:tblPr>
  </w:style>
  <w:style w:type="table" w:customStyle="1" w:styleId="af1">
    <w:basedOn w:val="TableNormal"/>
    <w:rsid w:val="005536F8"/>
    <w:tblPr>
      <w:tblStyleRowBandSize w:val="1"/>
      <w:tblStyleColBandSize w:val="1"/>
    </w:tblPr>
  </w:style>
  <w:style w:type="table" w:customStyle="1" w:styleId="af2">
    <w:basedOn w:val="TableNormal"/>
    <w:rsid w:val="005536F8"/>
    <w:tblPr>
      <w:tblStyleRowBandSize w:val="1"/>
      <w:tblStyleColBandSize w:val="1"/>
    </w:tblPr>
  </w:style>
  <w:style w:type="table" w:customStyle="1" w:styleId="af3">
    <w:basedOn w:val="TableNormal"/>
    <w:rsid w:val="005536F8"/>
    <w:tblPr>
      <w:tblStyleRowBandSize w:val="1"/>
      <w:tblStyleColBandSize w:val="1"/>
    </w:tblPr>
  </w:style>
  <w:style w:type="paragraph" w:styleId="BalloonText">
    <w:name w:val="Balloon Text"/>
    <w:basedOn w:val="Normal"/>
    <w:link w:val="BalloonTextChar"/>
    <w:uiPriority w:val="99"/>
    <w:semiHidden/>
    <w:unhideWhenUsed/>
    <w:rsid w:val="007B3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DD4"/>
    <w:rPr>
      <w:rFonts w:ascii="Segoe UI" w:hAnsi="Segoe UI" w:cs="Segoe UI"/>
      <w:sz w:val="18"/>
      <w:szCs w:val="18"/>
    </w:rPr>
  </w:style>
  <w:style w:type="paragraph" w:styleId="ListParagraph">
    <w:name w:val="List Paragraph"/>
    <w:basedOn w:val="Normal"/>
    <w:uiPriority w:val="34"/>
    <w:qFormat/>
    <w:rsid w:val="007B3DD4"/>
    <w:pPr>
      <w:ind w:left="720"/>
      <w:contextualSpacing/>
    </w:pPr>
  </w:style>
  <w:style w:type="paragraph" w:styleId="Header">
    <w:name w:val="header"/>
    <w:basedOn w:val="Normal"/>
    <w:link w:val="HeaderChar"/>
    <w:uiPriority w:val="99"/>
    <w:unhideWhenUsed/>
    <w:rsid w:val="00D64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6BC"/>
  </w:style>
  <w:style w:type="paragraph" w:styleId="Footer">
    <w:name w:val="footer"/>
    <w:basedOn w:val="Normal"/>
    <w:link w:val="FooterChar"/>
    <w:uiPriority w:val="99"/>
    <w:unhideWhenUsed/>
    <w:rsid w:val="00D64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6BC"/>
  </w:style>
  <w:style w:type="paragraph" w:styleId="NoSpacing">
    <w:name w:val="No Spacing"/>
    <w:link w:val="NoSpacingChar"/>
    <w:uiPriority w:val="1"/>
    <w:qFormat/>
    <w:rsid w:val="00775E5A"/>
    <w:pP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775E5A"/>
    <w:rPr>
      <w:rFonts w:asciiTheme="minorHAnsi" w:eastAsiaTheme="minorEastAsia" w:hAnsiTheme="minorHAnsi" w:cstheme="minorBidi"/>
      <w:color w:val="auto"/>
      <w:lang w:eastAsia="ja-JP"/>
    </w:rPr>
  </w:style>
  <w:style w:type="table" w:styleId="TableGrid">
    <w:name w:val="Table Grid"/>
    <w:basedOn w:val="TableNormal"/>
    <w:uiPriority w:val="39"/>
    <w:rsid w:val="00775E5A"/>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775E5A"/>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List-Accent3">
    <w:name w:val="Light List Accent 3"/>
    <w:basedOn w:val="TableNormal"/>
    <w:uiPriority w:val="61"/>
    <w:rsid w:val="00705C70"/>
    <w:pPr>
      <w:spacing w:after="0" w:line="240" w:lineRule="auto"/>
    </w:pPr>
    <w:rPr>
      <w:rFonts w:ascii="Times New Roman" w:eastAsia="Times New Roman" w:hAnsi="Times New Roman" w:cs="Times New Roman"/>
      <w:color w:val="auto"/>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
    <w:name w:val="No List1"/>
    <w:next w:val="NoList"/>
    <w:uiPriority w:val="99"/>
    <w:semiHidden/>
    <w:unhideWhenUsed/>
    <w:rsid w:val="00705C70"/>
  </w:style>
  <w:style w:type="character" w:styleId="Hyperlink">
    <w:name w:val="Hyperlink"/>
    <w:basedOn w:val="DefaultParagraphFont"/>
    <w:uiPriority w:val="99"/>
    <w:semiHidden/>
    <w:unhideWhenUsed/>
    <w:rsid w:val="00705C70"/>
    <w:rPr>
      <w:color w:val="0000FF"/>
      <w:u w:val="single"/>
    </w:rPr>
  </w:style>
  <w:style w:type="character" w:styleId="FollowedHyperlink">
    <w:name w:val="FollowedHyperlink"/>
    <w:basedOn w:val="DefaultParagraphFont"/>
    <w:uiPriority w:val="99"/>
    <w:semiHidden/>
    <w:unhideWhenUsed/>
    <w:rsid w:val="00705C70"/>
    <w:rPr>
      <w:color w:val="800080"/>
      <w:u w:val="single"/>
    </w:rPr>
  </w:style>
  <w:style w:type="paragraph" w:customStyle="1" w:styleId="xl66">
    <w:name w:val="xl66"/>
    <w:basedOn w:val="Normal"/>
    <w:rsid w:val="00A2697E"/>
    <w:pP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67">
    <w:name w:val="xl67"/>
    <w:basedOn w:val="Normal"/>
    <w:rsid w:val="00A2697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8">
    <w:name w:val="xl68"/>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9">
    <w:name w:val="xl69"/>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1">
    <w:name w:val="xl71"/>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2">
    <w:name w:val="xl72"/>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5">
    <w:name w:val="xl75"/>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6">
    <w:name w:val="xl76"/>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8">
    <w:name w:val="xl78"/>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0">
    <w:name w:val="xl80"/>
    <w:basedOn w:val="Normal"/>
    <w:rsid w:val="00A2697E"/>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1">
    <w:name w:val="xl81"/>
    <w:basedOn w:val="Normal"/>
    <w:rsid w:val="00A2697E"/>
    <w:pP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2">
    <w:name w:val="xl82"/>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3">
    <w:name w:val="xl83"/>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4">
    <w:name w:val="xl84"/>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5">
    <w:name w:val="xl65"/>
    <w:basedOn w:val="Normal"/>
    <w:rsid w:val="00C25C4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bin" w:eastAsia="Cabin" w:hAnsi="Cabin" w:cs="Cabin"/>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ind w:left="432" w:hanging="432"/>
      <w:outlineLvl w:val="0"/>
    </w:pPr>
    <w:rPr>
      <w:rFonts w:ascii="Jaeger Daily News" w:eastAsia="Jaeger Daily News" w:hAnsi="Jaeger Daily News" w:cs="Jaeger Daily News"/>
      <w:b/>
      <w:smallCaps/>
      <w:sz w:val="36"/>
      <w:szCs w:val="36"/>
    </w:rPr>
  </w:style>
  <w:style w:type="paragraph" w:styleId="Heading2">
    <w:name w:val="heading 2"/>
    <w:basedOn w:val="Normal"/>
    <w:next w:val="Normal"/>
    <w:pPr>
      <w:keepNext/>
      <w:keepLines/>
      <w:spacing w:before="360" w:after="0"/>
      <w:ind w:left="576" w:hanging="576"/>
      <w:outlineLvl w:val="1"/>
    </w:pPr>
    <w:rPr>
      <w:rFonts w:ascii="Jaeger Daily News" w:eastAsia="Jaeger Daily News" w:hAnsi="Jaeger Daily News" w:cs="Jaeger Daily News"/>
      <w:b/>
      <w:smallCaps/>
      <w:sz w:val="28"/>
      <w:szCs w:val="28"/>
    </w:rPr>
  </w:style>
  <w:style w:type="paragraph" w:styleId="Heading3">
    <w:name w:val="heading 3"/>
    <w:basedOn w:val="Normal"/>
    <w:next w:val="Normal"/>
    <w:pPr>
      <w:keepNext/>
      <w:keepLines/>
      <w:spacing w:before="200" w:after="0"/>
      <w:ind w:left="720" w:hanging="720"/>
      <w:outlineLvl w:val="2"/>
    </w:pPr>
    <w:rPr>
      <w:rFonts w:ascii="Jaeger Daily News" w:eastAsia="Jaeger Daily News" w:hAnsi="Jaeger Daily News" w:cs="Jaeger Daily News"/>
      <w:b/>
    </w:rPr>
  </w:style>
  <w:style w:type="paragraph" w:styleId="Heading4">
    <w:name w:val="heading 4"/>
    <w:basedOn w:val="Normal"/>
    <w:next w:val="Normal"/>
    <w:pPr>
      <w:keepNext/>
      <w:keepLines/>
      <w:spacing w:before="200" w:after="0"/>
      <w:ind w:left="864" w:hanging="864"/>
      <w:outlineLvl w:val="3"/>
    </w:pPr>
    <w:rPr>
      <w:rFonts w:ascii="Jaeger Daily News" w:eastAsia="Jaeger Daily News" w:hAnsi="Jaeger Daily News" w:cs="Jaeger Daily News"/>
      <w:b/>
      <w:i/>
    </w:rPr>
  </w:style>
  <w:style w:type="paragraph" w:styleId="Heading5">
    <w:name w:val="heading 5"/>
    <w:basedOn w:val="Normal"/>
    <w:next w:val="Normal"/>
    <w:pPr>
      <w:keepNext/>
      <w:keepLines/>
      <w:spacing w:before="200" w:after="0"/>
      <w:ind w:left="1008" w:hanging="1008"/>
      <w:outlineLvl w:val="4"/>
    </w:pPr>
    <w:rPr>
      <w:rFonts w:ascii="Jaeger Daily News" w:eastAsia="Jaeger Daily News" w:hAnsi="Jaeger Daily News" w:cs="Jaeger Daily News"/>
    </w:rPr>
  </w:style>
  <w:style w:type="paragraph" w:styleId="Heading6">
    <w:name w:val="heading 6"/>
    <w:basedOn w:val="Normal"/>
    <w:next w:val="Normal"/>
    <w:pPr>
      <w:keepNext/>
      <w:keepLines/>
      <w:spacing w:before="200" w:after="0"/>
      <w:ind w:left="1152" w:hanging="1152"/>
      <w:outlineLvl w:val="5"/>
    </w:pPr>
    <w:rPr>
      <w:rFonts w:ascii="Jaeger Daily News" w:eastAsia="Jaeger Daily News" w:hAnsi="Jaeger Daily News" w:cs="Jaeger Daily New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pPr>
    <w:rPr>
      <w:rFonts w:ascii="Jaeger Daily News" w:eastAsia="Jaeger Daily News" w:hAnsi="Jaeger Daily News" w:cs="Jaeger Daily News"/>
      <w:sz w:val="56"/>
      <w:szCs w:val="56"/>
    </w:rPr>
  </w:style>
  <w:style w:type="paragraph" w:styleId="Subtitle">
    <w:name w:val="Subtitle"/>
    <w:basedOn w:val="Normal"/>
    <w:next w:val="Normal"/>
    <w:pPr>
      <w:keepNext/>
      <w:keepLines/>
    </w:pPr>
    <w:rPr>
      <w:i/>
      <w:color w:val="66666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7B3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DD4"/>
    <w:rPr>
      <w:rFonts w:ascii="Segoe UI" w:hAnsi="Segoe UI" w:cs="Segoe UI"/>
      <w:sz w:val="18"/>
      <w:szCs w:val="18"/>
    </w:rPr>
  </w:style>
  <w:style w:type="paragraph" w:styleId="ListParagraph">
    <w:name w:val="List Paragraph"/>
    <w:basedOn w:val="Normal"/>
    <w:uiPriority w:val="34"/>
    <w:qFormat/>
    <w:rsid w:val="007B3DD4"/>
    <w:pPr>
      <w:ind w:left="720"/>
      <w:contextualSpacing/>
    </w:pPr>
  </w:style>
  <w:style w:type="paragraph" w:styleId="Header">
    <w:name w:val="header"/>
    <w:basedOn w:val="Normal"/>
    <w:link w:val="HeaderChar"/>
    <w:uiPriority w:val="99"/>
    <w:unhideWhenUsed/>
    <w:rsid w:val="00D64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6BC"/>
  </w:style>
  <w:style w:type="paragraph" w:styleId="Footer">
    <w:name w:val="footer"/>
    <w:basedOn w:val="Normal"/>
    <w:link w:val="FooterChar"/>
    <w:uiPriority w:val="99"/>
    <w:unhideWhenUsed/>
    <w:rsid w:val="00D64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6BC"/>
  </w:style>
  <w:style w:type="paragraph" w:styleId="NoSpacing">
    <w:name w:val="No Spacing"/>
    <w:link w:val="NoSpacingChar"/>
    <w:uiPriority w:val="1"/>
    <w:qFormat/>
    <w:rsid w:val="00775E5A"/>
    <w:pP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775E5A"/>
    <w:rPr>
      <w:rFonts w:asciiTheme="minorHAnsi" w:eastAsiaTheme="minorEastAsia" w:hAnsiTheme="minorHAnsi" w:cstheme="minorBidi"/>
      <w:color w:val="auto"/>
      <w:lang w:eastAsia="ja-JP"/>
    </w:rPr>
  </w:style>
  <w:style w:type="table" w:styleId="TableGrid">
    <w:name w:val="Table Grid"/>
    <w:basedOn w:val="TableNormal"/>
    <w:uiPriority w:val="39"/>
    <w:rsid w:val="00775E5A"/>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775E5A"/>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List-Accent3">
    <w:name w:val="Light List Accent 3"/>
    <w:basedOn w:val="TableNormal"/>
    <w:uiPriority w:val="61"/>
    <w:rsid w:val="00705C70"/>
    <w:pPr>
      <w:spacing w:after="0" w:line="240" w:lineRule="auto"/>
    </w:pPr>
    <w:rPr>
      <w:rFonts w:ascii="Times New Roman" w:eastAsia="Times New Roman" w:hAnsi="Times New Roman" w:cs="Times New Roman"/>
      <w:color w:val="auto"/>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
    <w:name w:val="No List1"/>
    <w:next w:val="NoList"/>
    <w:uiPriority w:val="99"/>
    <w:semiHidden/>
    <w:unhideWhenUsed/>
    <w:rsid w:val="00705C70"/>
  </w:style>
  <w:style w:type="character" w:styleId="Hyperlink">
    <w:name w:val="Hyperlink"/>
    <w:basedOn w:val="DefaultParagraphFont"/>
    <w:uiPriority w:val="99"/>
    <w:semiHidden/>
    <w:unhideWhenUsed/>
    <w:rsid w:val="00705C70"/>
    <w:rPr>
      <w:color w:val="0000FF"/>
      <w:u w:val="single"/>
    </w:rPr>
  </w:style>
  <w:style w:type="character" w:styleId="FollowedHyperlink">
    <w:name w:val="FollowedHyperlink"/>
    <w:basedOn w:val="DefaultParagraphFont"/>
    <w:uiPriority w:val="99"/>
    <w:semiHidden/>
    <w:unhideWhenUsed/>
    <w:rsid w:val="00705C70"/>
    <w:rPr>
      <w:color w:val="800080"/>
      <w:u w:val="single"/>
    </w:rPr>
  </w:style>
  <w:style w:type="paragraph" w:customStyle="1" w:styleId="xl66">
    <w:name w:val="xl66"/>
    <w:basedOn w:val="Normal"/>
    <w:rsid w:val="00A2697E"/>
    <w:pP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67">
    <w:name w:val="xl67"/>
    <w:basedOn w:val="Normal"/>
    <w:rsid w:val="00A2697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8">
    <w:name w:val="xl68"/>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9">
    <w:name w:val="xl69"/>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1">
    <w:name w:val="xl71"/>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2">
    <w:name w:val="xl72"/>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5">
    <w:name w:val="xl75"/>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6">
    <w:name w:val="xl76"/>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8">
    <w:name w:val="xl78"/>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A269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0">
    <w:name w:val="xl80"/>
    <w:basedOn w:val="Normal"/>
    <w:rsid w:val="00A2697E"/>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1">
    <w:name w:val="xl81"/>
    <w:basedOn w:val="Normal"/>
    <w:rsid w:val="00A2697E"/>
    <w:pP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2">
    <w:name w:val="xl82"/>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3">
    <w:name w:val="xl83"/>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4">
    <w:name w:val="xl84"/>
    <w:basedOn w:val="Normal"/>
    <w:rsid w:val="001F7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5">
    <w:name w:val="xl65"/>
    <w:basedOn w:val="Normal"/>
    <w:rsid w:val="00C25C4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9753">
      <w:bodyDiv w:val="1"/>
      <w:marLeft w:val="0"/>
      <w:marRight w:val="0"/>
      <w:marTop w:val="0"/>
      <w:marBottom w:val="0"/>
      <w:divBdr>
        <w:top w:val="none" w:sz="0" w:space="0" w:color="auto"/>
        <w:left w:val="none" w:sz="0" w:space="0" w:color="auto"/>
        <w:bottom w:val="none" w:sz="0" w:space="0" w:color="auto"/>
        <w:right w:val="none" w:sz="0" w:space="0" w:color="auto"/>
      </w:divBdr>
    </w:div>
    <w:div w:id="270864836">
      <w:bodyDiv w:val="1"/>
      <w:marLeft w:val="0"/>
      <w:marRight w:val="0"/>
      <w:marTop w:val="0"/>
      <w:marBottom w:val="0"/>
      <w:divBdr>
        <w:top w:val="none" w:sz="0" w:space="0" w:color="auto"/>
        <w:left w:val="none" w:sz="0" w:space="0" w:color="auto"/>
        <w:bottom w:val="none" w:sz="0" w:space="0" w:color="auto"/>
        <w:right w:val="none" w:sz="0" w:space="0" w:color="auto"/>
      </w:divBdr>
    </w:div>
    <w:div w:id="319889159">
      <w:bodyDiv w:val="1"/>
      <w:marLeft w:val="0"/>
      <w:marRight w:val="0"/>
      <w:marTop w:val="0"/>
      <w:marBottom w:val="0"/>
      <w:divBdr>
        <w:top w:val="none" w:sz="0" w:space="0" w:color="auto"/>
        <w:left w:val="none" w:sz="0" w:space="0" w:color="auto"/>
        <w:bottom w:val="none" w:sz="0" w:space="0" w:color="auto"/>
        <w:right w:val="none" w:sz="0" w:space="0" w:color="auto"/>
      </w:divBdr>
    </w:div>
    <w:div w:id="404843115">
      <w:bodyDiv w:val="1"/>
      <w:marLeft w:val="0"/>
      <w:marRight w:val="0"/>
      <w:marTop w:val="0"/>
      <w:marBottom w:val="0"/>
      <w:divBdr>
        <w:top w:val="none" w:sz="0" w:space="0" w:color="auto"/>
        <w:left w:val="none" w:sz="0" w:space="0" w:color="auto"/>
        <w:bottom w:val="none" w:sz="0" w:space="0" w:color="auto"/>
        <w:right w:val="none" w:sz="0" w:space="0" w:color="auto"/>
      </w:divBdr>
    </w:div>
    <w:div w:id="458231058">
      <w:bodyDiv w:val="1"/>
      <w:marLeft w:val="0"/>
      <w:marRight w:val="0"/>
      <w:marTop w:val="0"/>
      <w:marBottom w:val="0"/>
      <w:divBdr>
        <w:top w:val="none" w:sz="0" w:space="0" w:color="auto"/>
        <w:left w:val="none" w:sz="0" w:space="0" w:color="auto"/>
        <w:bottom w:val="none" w:sz="0" w:space="0" w:color="auto"/>
        <w:right w:val="none" w:sz="0" w:space="0" w:color="auto"/>
      </w:divBdr>
    </w:div>
    <w:div w:id="522328352">
      <w:bodyDiv w:val="1"/>
      <w:marLeft w:val="0"/>
      <w:marRight w:val="0"/>
      <w:marTop w:val="0"/>
      <w:marBottom w:val="0"/>
      <w:divBdr>
        <w:top w:val="none" w:sz="0" w:space="0" w:color="auto"/>
        <w:left w:val="none" w:sz="0" w:space="0" w:color="auto"/>
        <w:bottom w:val="none" w:sz="0" w:space="0" w:color="auto"/>
        <w:right w:val="none" w:sz="0" w:space="0" w:color="auto"/>
      </w:divBdr>
    </w:div>
    <w:div w:id="546455886">
      <w:bodyDiv w:val="1"/>
      <w:marLeft w:val="0"/>
      <w:marRight w:val="0"/>
      <w:marTop w:val="0"/>
      <w:marBottom w:val="0"/>
      <w:divBdr>
        <w:top w:val="none" w:sz="0" w:space="0" w:color="auto"/>
        <w:left w:val="none" w:sz="0" w:space="0" w:color="auto"/>
        <w:bottom w:val="none" w:sz="0" w:space="0" w:color="auto"/>
        <w:right w:val="none" w:sz="0" w:space="0" w:color="auto"/>
      </w:divBdr>
    </w:div>
    <w:div w:id="588972902">
      <w:bodyDiv w:val="1"/>
      <w:marLeft w:val="0"/>
      <w:marRight w:val="0"/>
      <w:marTop w:val="0"/>
      <w:marBottom w:val="0"/>
      <w:divBdr>
        <w:top w:val="none" w:sz="0" w:space="0" w:color="auto"/>
        <w:left w:val="none" w:sz="0" w:space="0" w:color="auto"/>
        <w:bottom w:val="none" w:sz="0" w:space="0" w:color="auto"/>
        <w:right w:val="none" w:sz="0" w:space="0" w:color="auto"/>
      </w:divBdr>
    </w:div>
    <w:div w:id="643045222">
      <w:bodyDiv w:val="1"/>
      <w:marLeft w:val="0"/>
      <w:marRight w:val="0"/>
      <w:marTop w:val="0"/>
      <w:marBottom w:val="0"/>
      <w:divBdr>
        <w:top w:val="none" w:sz="0" w:space="0" w:color="auto"/>
        <w:left w:val="none" w:sz="0" w:space="0" w:color="auto"/>
        <w:bottom w:val="none" w:sz="0" w:space="0" w:color="auto"/>
        <w:right w:val="none" w:sz="0" w:space="0" w:color="auto"/>
      </w:divBdr>
    </w:div>
    <w:div w:id="699628296">
      <w:bodyDiv w:val="1"/>
      <w:marLeft w:val="0"/>
      <w:marRight w:val="0"/>
      <w:marTop w:val="0"/>
      <w:marBottom w:val="0"/>
      <w:divBdr>
        <w:top w:val="none" w:sz="0" w:space="0" w:color="auto"/>
        <w:left w:val="none" w:sz="0" w:space="0" w:color="auto"/>
        <w:bottom w:val="none" w:sz="0" w:space="0" w:color="auto"/>
        <w:right w:val="none" w:sz="0" w:space="0" w:color="auto"/>
      </w:divBdr>
    </w:div>
    <w:div w:id="710153472">
      <w:bodyDiv w:val="1"/>
      <w:marLeft w:val="0"/>
      <w:marRight w:val="0"/>
      <w:marTop w:val="0"/>
      <w:marBottom w:val="0"/>
      <w:divBdr>
        <w:top w:val="none" w:sz="0" w:space="0" w:color="auto"/>
        <w:left w:val="none" w:sz="0" w:space="0" w:color="auto"/>
        <w:bottom w:val="none" w:sz="0" w:space="0" w:color="auto"/>
        <w:right w:val="none" w:sz="0" w:space="0" w:color="auto"/>
      </w:divBdr>
    </w:div>
    <w:div w:id="720054787">
      <w:bodyDiv w:val="1"/>
      <w:marLeft w:val="0"/>
      <w:marRight w:val="0"/>
      <w:marTop w:val="0"/>
      <w:marBottom w:val="0"/>
      <w:divBdr>
        <w:top w:val="none" w:sz="0" w:space="0" w:color="auto"/>
        <w:left w:val="none" w:sz="0" w:space="0" w:color="auto"/>
        <w:bottom w:val="none" w:sz="0" w:space="0" w:color="auto"/>
        <w:right w:val="none" w:sz="0" w:space="0" w:color="auto"/>
      </w:divBdr>
    </w:div>
    <w:div w:id="985162240">
      <w:bodyDiv w:val="1"/>
      <w:marLeft w:val="0"/>
      <w:marRight w:val="0"/>
      <w:marTop w:val="0"/>
      <w:marBottom w:val="0"/>
      <w:divBdr>
        <w:top w:val="none" w:sz="0" w:space="0" w:color="auto"/>
        <w:left w:val="none" w:sz="0" w:space="0" w:color="auto"/>
        <w:bottom w:val="none" w:sz="0" w:space="0" w:color="auto"/>
        <w:right w:val="none" w:sz="0" w:space="0" w:color="auto"/>
      </w:divBdr>
    </w:div>
    <w:div w:id="1073771309">
      <w:bodyDiv w:val="1"/>
      <w:marLeft w:val="0"/>
      <w:marRight w:val="0"/>
      <w:marTop w:val="0"/>
      <w:marBottom w:val="0"/>
      <w:divBdr>
        <w:top w:val="none" w:sz="0" w:space="0" w:color="auto"/>
        <w:left w:val="none" w:sz="0" w:space="0" w:color="auto"/>
        <w:bottom w:val="none" w:sz="0" w:space="0" w:color="auto"/>
        <w:right w:val="none" w:sz="0" w:space="0" w:color="auto"/>
      </w:divBdr>
    </w:div>
    <w:div w:id="1088622524">
      <w:bodyDiv w:val="1"/>
      <w:marLeft w:val="0"/>
      <w:marRight w:val="0"/>
      <w:marTop w:val="0"/>
      <w:marBottom w:val="0"/>
      <w:divBdr>
        <w:top w:val="none" w:sz="0" w:space="0" w:color="auto"/>
        <w:left w:val="none" w:sz="0" w:space="0" w:color="auto"/>
        <w:bottom w:val="none" w:sz="0" w:space="0" w:color="auto"/>
        <w:right w:val="none" w:sz="0" w:space="0" w:color="auto"/>
      </w:divBdr>
    </w:div>
    <w:div w:id="1215967183">
      <w:bodyDiv w:val="1"/>
      <w:marLeft w:val="0"/>
      <w:marRight w:val="0"/>
      <w:marTop w:val="0"/>
      <w:marBottom w:val="0"/>
      <w:divBdr>
        <w:top w:val="none" w:sz="0" w:space="0" w:color="auto"/>
        <w:left w:val="none" w:sz="0" w:space="0" w:color="auto"/>
        <w:bottom w:val="none" w:sz="0" w:space="0" w:color="auto"/>
        <w:right w:val="none" w:sz="0" w:space="0" w:color="auto"/>
      </w:divBdr>
    </w:div>
    <w:div w:id="1291008432">
      <w:bodyDiv w:val="1"/>
      <w:marLeft w:val="0"/>
      <w:marRight w:val="0"/>
      <w:marTop w:val="0"/>
      <w:marBottom w:val="0"/>
      <w:divBdr>
        <w:top w:val="none" w:sz="0" w:space="0" w:color="auto"/>
        <w:left w:val="none" w:sz="0" w:space="0" w:color="auto"/>
        <w:bottom w:val="none" w:sz="0" w:space="0" w:color="auto"/>
        <w:right w:val="none" w:sz="0" w:space="0" w:color="auto"/>
      </w:divBdr>
    </w:div>
    <w:div w:id="1473936684">
      <w:bodyDiv w:val="1"/>
      <w:marLeft w:val="0"/>
      <w:marRight w:val="0"/>
      <w:marTop w:val="0"/>
      <w:marBottom w:val="0"/>
      <w:divBdr>
        <w:top w:val="none" w:sz="0" w:space="0" w:color="auto"/>
        <w:left w:val="none" w:sz="0" w:space="0" w:color="auto"/>
        <w:bottom w:val="none" w:sz="0" w:space="0" w:color="auto"/>
        <w:right w:val="none" w:sz="0" w:space="0" w:color="auto"/>
      </w:divBdr>
    </w:div>
    <w:div w:id="1514681514">
      <w:bodyDiv w:val="1"/>
      <w:marLeft w:val="0"/>
      <w:marRight w:val="0"/>
      <w:marTop w:val="0"/>
      <w:marBottom w:val="0"/>
      <w:divBdr>
        <w:top w:val="none" w:sz="0" w:space="0" w:color="auto"/>
        <w:left w:val="none" w:sz="0" w:space="0" w:color="auto"/>
        <w:bottom w:val="none" w:sz="0" w:space="0" w:color="auto"/>
        <w:right w:val="none" w:sz="0" w:space="0" w:color="auto"/>
      </w:divBdr>
    </w:div>
    <w:div w:id="1584223515">
      <w:bodyDiv w:val="1"/>
      <w:marLeft w:val="0"/>
      <w:marRight w:val="0"/>
      <w:marTop w:val="0"/>
      <w:marBottom w:val="0"/>
      <w:divBdr>
        <w:top w:val="none" w:sz="0" w:space="0" w:color="auto"/>
        <w:left w:val="none" w:sz="0" w:space="0" w:color="auto"/>
        <w:bottom w:val="none" w:sz="0" w:space="0" w:color="auto"/>
        <w:right w:val="none" w:sz="0" w:space="0" w:color="auto"/>
      </w:divBdr>
    </w:div>
    <w:div w:id="1607422741">
      <w:bodyDiv w:val="1"/>
      <w:marLeft w:val="0"/>
      <w:marRight w:val="0"/>
      <w:marTop w:val="0"/>
      <w:marBottom w:val="0"/>
      <w:divBdr>
        <w:top w:val="none" w:sz="0" w:space="0" w:color="auto"/>
        <w:left w:val="none" w:sz="0" w:space="0" w:color="auto"/>
        <w:bottom w:val="none" w:sz="0" w:space="0" w:color="auto"/>
        <w:right w:val="none" w:sz="0" w:space="0" w:color="auto"/>
      </w:divBdr>
    </w:div>
    <w:div w:id="1622877155">
      <w:bodyDiv w:val="1"/>
      <w:marLeft w:val="0"/>
      <w:marRight w:val="0"/>
      <w:marTop w:val="0"/>
      <w:marBottom w:val="0"/>
      <w:divBdr>
        <w:top w:val="none" w:sz="0" w:space="0" w:color="auto"/>
        <w:left w:val="none" w:sz="0" w:space="0" w:color="auto"/>
        <w:bottom w:val="none" w:sz="0" w:space="0" w:color="auto"/>
        <w:right w:val="none" w:sz="0" w:space="0" w:color="auto"/>
      </w:divBdr>
    </w:div>
    <w:div w:id="1668169776">
      <w:bodyDiv w:val="1"/>
      <w:marLeft w:val="0"/>
      <w:marRight w:val="0"/>
      <w:marTop w:val="0"/>
      <w:marBottom w:val="0"/>
      <w:divBdr>
        <w:top w:val="none" w:sz="0" w:space="0" w:color="auto"/>
        <w:left w:val="none" w:sz="0" w:space="0" w:color="auto"/>
        <w:bottom w:val="none" w:sz="0" w:space="0" w:color="auto"/>
        <w:right w:val="none" w:sz="0" w:space="0" w:color="auto"/>
      </w:divBdr>
    </w:div>
    <w:div w:id="1707019943">
      <w:bodyDiv w:val="1"/>
      <w:marLeft w:val="0"/>
      <w:marRight w:val="0"/>
      <w:marTop w:val="0"/>
      <w:marBottom w:val="0"/>
      <w:divBdr>
        <w:top w:val="none" w:sz="0" w:space="0" w:color="auto"/>
        <w:left w:val="none" w:sz="0" w:space="0" w:color="auto"/>
        <w:bottom w:val="none" w:sz="0" w:space="0" w:color="auto"/>
        <w:right w:val="none" w:sz="0" w:space="0" w:color="auto"/>
      </w:divBdr>
    </w:div>
    <w:div w:id="1861695953">
      <w:bodyDiv w:val="1"/>
      <w:marLeft w:val="0"/>
      <w:marRight w:val="0"/>
      <w:marTop w:val="0"/>
      <w:marBottom w:val="0"/>
      <w:divBdr>
        <w:top w:val="none" w:sz="0" w:space="0" w:color="auto"/>
        <w:left w:val="none" w:sz="0" w:space="0" w:color="auto"/>
        <w:bottom w:val="none" w:sz="0" w:space="0" w:color="auto"/>
        <w:right w:val="none" w:sz="0" w:space="0" w:color="auto"/>
      </w:divBdr>
    </w:div>
    <w:div w:id="1921479424">
      <w:bodyDiv w:val="1"/>
      <w:marLeft w:val="0"/>
      <w:marRight w:val="0"/>
      <w:marTop w:val="0"/>
      <w:marBottom w:val="0"/>
      <w:divBdr>
        <w:top w:val="none" w:sz="0" w:space="0" w:color="auto"/>
        <w:left w:val="none" w:sz="0" w:space="0" w:color="auto"/>
        <w:bottom w:val="none" w:sz="0" w:space="0" w:color="auto"/>
        <w:right w:val="none" w:sz="0" w:space="0" w:color="auto"/>
      </w:divBdr>
    </w:div>
    <w:div w:id="2018070719">
      <w:bodyDiv w:val="1"/>
      <w:marLeft w:val="0"/>
      <w:marRight w:val="0"/>
      <w:marTop w:val="0"/>
      <w:marBottom w:val="0"/>
      <w:divBdr>
        <w:top w:val="none" w:sz="0" w:space="0" w:color="auto"/>
        <w:left w:val="none" w:sz="0" w:space="0" w:color="auto"/>
        <w:bottom w:val="none" w:sz="0" w:space="0" w:color="auto"/>
        <w:right w:val="none" w:sz="0" w:space="0" w:color="auto"/>
      </w:divBdr>
    </w:div>
    <w:div w:id="2110932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1.xml"/><Relationship Id="rId47" Type="http://schemas.openxmlformats.org/officeDocument/2006/relationships/image" Target="media/image8.png"/><Relationship Id="rId63" Type="http://schemas.openxmlformats.org/officeDocument/2006/relationships/chart" Target="charts/chart47.xm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6.png"/><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5" Type="http://schemas.openxmlformats.org/officeDocument/2006/relationships/settings" Target="settings.xml"/><Relationship Id="rId61" Type="http://schemas.openxmlformats.org/officeDocument/2006/relationships/chart" Target="charts/chart45.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3.emf"/><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png"/><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7.png"/><Relationship Id="rId59" Type="http://schemas.openxmlformats.org/officeDocument/2006/relationships/chart" Target="charts/chart43.xml"/><Relationship Id="rId67" Type="http://schemas.openxmlformats.org/officeDocument/2006/relationships/header" Target="header1.xm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image" Target="media/image5.png"/><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4.xml"/><Relationship Id="rId55" Type="http://schemas.openxmlformats.org/officeDocument/2006/relationships/chart" Target="charts/chart39.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UndupEnrollmentByInstructionalAndStudentType.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Completion%20Rate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FC-SBS01\ALMA%20Strategies\CLIENTS\San%20Bernardino%20CCD\Internal%20Scan%20Data\Internal%20Scan%20Analysis\0910to1314_transfer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FCDC\ALMA%20Strategies\CLIENTS\San%20Bernardino%20CCD\Internal%20Scan%20Data\Employees_By_Yea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Employees_By_Yea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Employees_By_Yea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Internal%20Scan%20Analysis\Employees_By_Yea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Internal%20Scan%20Analysis\UndupEnrollmentByInstructionalAndStudentTyp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SFCDC\ALMA%20Strategies\CLIENTS\San%20Bernardino%20CCD\Crafton%20Hills\EMP%20Charts%20&amp;%20Tables.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FCDC\ALMA%20Strategies\CLIENTS\San%20Bernardino%20CCD\Crafton%20Hills\EMP%20Charts%20&amp;%20Tabl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FCDC\ALMA%20Strategies\CLIENTS\San%20Bernardino%20CCD\Crafton%20Hills\CHC_EMP%20Charts%20&amp;%20Tabl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FCDC\ALMA%20Strategies\CLIENTS\San%20Bernardino%20CCD\Crafton%20Hills\CHC_EMP%20Charts%20&amp;%20Tabl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SFCDC\ALMA%20Strategies\CLIENTS\San%20Bernardino%20CCD\San%20Bernardino%20Valley\EMP%20Charts%20&amp;%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UndupEnrollmentByInstructionalAndStudentTyp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SFCDC\ALMA%20Strategies\CLIENTS\San%20Bernardino%20CCD\Crafton%20Hills\CHC_EMP%20Charts%20&amp;%20Tabl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SFCDC\ALMA%20Strategies\CLIENTS\San%20Bernardino%20CCD\External%20Scan%20Data\Demographics\San%20Bernardino%20CCD_Ed%20Master%20Plan_Demographics%20Tables%20&amp;%20Graphs.xlsx" TargetMode="Externa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4.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Internal%20Scan%20Analysis\UndupEnrollmentByInstructionalAndStudentType.xlsx"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5.xml.rels><?xml version="1.0" encoding="UTF-8" standalone="yes"?>
<Relationships xmlns="http://schemas.openxmlformats.org/package/2006/relationships"><Relationship Id="rId1" Type="http://schemas.openxmlformats.org/officeDocument/2006/relationships/oleObject" Target="file:///\\SFCDC\ALMA%20Strategies\CLIENTS\San%20Bernardino%20CCD\Internal%20Scan%20Data\UndupEnrollmentByInstructionalAndStudentType.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6.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Internal%20Scan%20Analysis\UndupEnrollmentByInstructionalAndStudentTyp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FC-SBS01\ALMA%20Strategies\CLIENTS\San%20Bernardino%20CCD\Internal%20Scan%20Data\Internal%20Scan%20Analysis\WSCHbyCollegeAndTer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SectionsByCollegeAndYe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FC-SBS01\ALMA%20Strategies\CLIENTS\San%20Bernardino%20CCD\Internal%20Scan%20Data\Internal%20Scan%20Analysis\20151211_WSCH-FTEF-Load-Revi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9865695757396"/>
          <c:y val="7.3750389896915111E-2"/>
          <c:w val="0.85779790757353203"/>
          <c:h val="0.82943162539465176"/>
        </c:manualLayout>
      </c:layout>
      <c:barChart>
        <c:barDir val="bar"/>
        <c:grouping val="percentStacked"/>
        <c:varyColors val="0"/>
        <c:ser>
          <c:idx val="0"/>
          <c:order val="0"/>
          <c:tx>
            <c:strRef>
              <c:f>Age!$A$76</c:f>
              <c:strCache>
                <c:ptCount val="1"/>
                <c:pt idx="0">
                  <c:v>19 or Younger</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Age!$B$76:$F$76</c:f>
              <c:numCache>
                <c:formatCode>#,##0</c:formatCode>
                <c:ptCount val="5"/>
                <c:pt idx="0">
                  <c:v>2871</c:v>
                </c:pt>
                <c:pt idx="1">
                  <c:v>2587</c:v>
                </c:pt>
                <c:pt idx="2">
                  <c:v>2401</c:v>
                </c:pt>
                <c:pt idx="3">
                  <c:v>2353</c:v>
                </c:pt>
                <c:pt idx="4">
                  <c:v>2444</c:v>
                </c:pt>
              </c:numCache>
            </c:numRef>
          </c:val>
        </c:ser>
        <c:ser>
          <c:idx val="1"/>
          <c:order val="1"/>
          <c:tx>
            <c:strRef>
              <c:f>Age!$A$77</c:f>
              <c:strCache>
                <c:ptCount val="1"/>
                <c:pt idx="0">
                  <c:v>20-24</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Age!$B$77:$F$77</c:f>
              <c:numCache>
                <c:formatCode>#,##0</c:formatCode>
                <c:ptCount val="5"/>
                <c:pt idx="0">
                  <c:v>3065</c:v>
                </c:pt>
                <c:pt idx="1">
                  <c:v>2751</c:v>
                </c:pt>
                <c:pt idx="2">
                  <c:v>2658</c:v>
                </c:pt>
                <c:pt idx="3">
                  <c:v>2921</c:v>
                </c:pt>
                <c:pt idx="4">
                  <c:v>3193</c:v>
                </c:pt>
              </c:numCache>
            </c:numRef>
          </c:val>
        </c:ser>
        <c:ser>
          <c:idx val="2"/>
          <c:order val="2"/>
          <c:tx>
            <c:strRef>
              <c:f>Age!$A$78</c:f>
              <c:strCache>
                <c:ptCount val="1"/>
                <c:pt idx="0">
                  <c:v>25-29</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Age!$B$78:$F$78</c:f>
              <c:numCache>
                <c:formatCode>#,##0</c:formatCode>
                <c:ptCount val="5"/>
                <c:pt idx="0">
                  <c:v>1099</c:v>
                </c:pt>
                <c:pt idx="1">
                  <c:v>990</c:v>
                </c:pt>
                <c:pt idx="2">
                  <c:v>893</c:v>
                </c:pt>
                <c:pt idx="3">
                  <c:v>1018</c:v>
                </c:pt>
                <c:pt idx="4">
                  <c:v>1075</c:v>
                </c:pt>
              </c:numCache>
            </c:numRef>
          </c:val>
        </c:ser>
        <c:ser>
          <c:idx val="3"/>
          <c:order val="3"/>
          <c:tx>
            <c:strRef>
              <c:f>Age!$A$79</c:f>
              <c:strCache>
                <c:ptCount val="1"/>
                <c:pt idx="0">
                  <c:v>30-34</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Age!$B$79:$F$79</c:f>
              <c:numCache>
                <c:formatCode>#,##0</c:formatCode>
                <c:ptCount val="5"/>
                <c:pt idx="0">
                  <c:v>555</c:v>
                </c:pt>
                <c:pt idx="1">
                  <c:v>470</c:v>
                </c:pt>
                <c:pt idx="2">
                  <c:v>397</c:v>
                </c:pt>
                <c:pt idx="3">
                  <c:v>479</c:v>
                </c:pt>
                <c:pt idx="4">
                  <c:v>507</c:v>
                </c:pt>
              </c:numCache>
            </c:numRef>
          </c:val>
        </c:ser>
        <c:ser>
          <c:idx val="4"/>
          <c:order val="4"/>
          <c:tx>
            <c:strRef>
              <c:f>Age!$A$80</c:f>
              <c:strCache>
                <c:ptCount val="1"/>
                <c:pt idx="0">
                  <c:v>35-39</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Age!$B$80:$F$80</c:f>
              <c:numCache>
                <c:formatCode>#,##0</c:formatCode>
                <c:ptCount val="5"/>
                <c:pt idx="0">
                  <c:v>372</c:v>
                </c:pt>
                <c:pt idx="1">
                  <c:v>266</c:v>
                </c:pt>
                <c:pt idx="2">
                  <c:v>241</c:v>
                </c:pt>
                <c:pt idx="3">
                  <c:v>254</c:v>
                </c:pt>
                <c:pt idx="4">
                  <c:v>283</c:v>
                </c:pt>
              </c:numCache>
            </c:numRef>
          </c:val>
        </c:ser>
        <c:ser>
          <c:idx val="5"/>
          <c:order val="5"/>
          <c:tx>
            <c:strRef>
              <c:f>Age!$A$81</c:f>
              <c:strCache>
                <c:ptCount val="1"/>
                <c:pt idx="0">
                  <c:v>40-49</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Age!$B$81:$F$81</c:f>
              <c:numCache>
                <c:formatCode>#,##0</c:formatCode>
                <c:ptCount val="5"/>
                <c:pt idx="0">
                  <c:v>454</c:v>
                </c:pt>
                <c:pt idx="1">
                  <c:v>374</c:v>
                </c:pt>
                <c:pt idx="2">
                  <c:v>325</c:v>
                </c:pt>
                <c:pt idx="3">
                  <c:v>318</c:v>
                </c:pt>
                <c:pt idx="4">
                  <c:v>321</c:v>
                </c:pt>
              </c:numCache>
            </c:numRef>
          </c:val>
        </c:ser>
        <c:ser>
          <c:idx val="6"/>
          <c:order val="6"/>
          <c:tx>
            <c:strRef>
              <c:f>Age!$A$82</c:f>
              <c:strCache>
                <c:ptCount val="1"/>
                <c:pt idx="0">
                  <c:v>50 or Older</c:v>
                </c:pt>
              </c:strCache>
            </c:strRef>
          </c:tx>
          <c:invertIfNegative val="0"/>
          <c:dLbls>
            <c:spPr>
              <a:noFill/>
              <a:ln>
                <a:noFill/>
              </a:ln>
              <a:effectLst/>
            </c:spPr>
            <c:txPr>
              <a:bodyPr/>
              <a:lstStyle/>
              <a:p>
                <a:pPr>
                  <a:defRPr sz="9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Age!$B$75:$F$75</c:f>
              <c:strCache>
                <c:ptCount val="5"/>
                <c:pt idx="0">
                  <c:v>2010-2011</c:v>
                </c:pt>
                <c:pt idx="1">
                  <c:v>2011-2012</c:v>
                </c:pt>
                <c:pt idx="2">
                  <c:v>2012-2013</c:v>
                </c:pt>
                <c:pt idx="3">
                  <c:v>2013-2014</c:v>
                </c:pt>
                <c:pt idx="4">
                  <c:v>2014-2015</c:v>
                </c:pt>
              </c:strCache>
            </c:strRef>
          </c:cat>
          <c:val>
            <c:numRef>
              <c:f>Age!$B$82:$F$82</c:f>
              <c:numCache>
                <c:formatCode>#,##0</c:formatCode>
                <c:ptCount val="5"/>
                <c:pt idx="0">
                  <c:v>289</c:v>
                </c:pt>
                <c:pt idx="1">
                  <c:v>236</c:v>
                </c:pt>
                <c:pt idx="2">
                  <c:v>181</c:v>
                </c:pt>
                <c:pt idx="3">
                  <c:v>185</c:v>
                </c:pt>
                <c:pt idx="4">
                  <c:v>217</c:v>
                </c:pt>
              </c:numCache>
            </c:numRef>
          </c:val>
        </c:ser>
        <c:ser>
          <c:idx val="7"/>
          <c:order val="7"/>
          <c:tx>
            <c:strRef>
              <c:f>Age!$A$83</c:f>
              <c:strCache>
                <c:ptCount val="1"/>
                <c:pt idx="0">
                  <c:v>Unknown</c:v>
                </c:pt>
              </c:strCache>
            </c:strRef>
          </c:tx>
          <c:invertIfNegative val="0"/>
          <c:dLbls>
            <c:delete val="1"/>
          </c:dLbls>
          <c:cat>
            <c:strRef>
              <c:f>Age!$B$75:$F$75</c:f>
              <c:strCache>
                <c:ptCount val="5"/>
                <c:pt idx="0">
                  <c:v>2010-2011</c:v>
                </c:pt>
                <c:pt idx="1">
                  <c:v>2011-2012</c:v>
                </c:pt>
                <c:pt idx="2">
                  <c:v>2012-2013</c:v>
                </c:pt>
                <c:pt idx="3">
                  <c:v>2013-2014</c:v>
                </c:pt>
                <c:pt idx="4">
                  <c:v>2014-2015</c:v>
                </c:pt>
              </c:strCache>
            </c:strRef>
          </c:cat>
          <c:val>
            <c:numRef>
              <c:f>Age!$B$83:$F$83</c:f>
              <c:numCache>
                <c:formatCode>#,##0</c:formatCode>
                <c:ptCount val="5"/>
                <c:pt idx="0">
                  <c:v>3</c:v>
                </c:pt>
                <c:pt idx="1">
                  <c:v>0</c:v>
                </c:pt>
                <c:pt idx="2">
                  <c:v>0</c:v>
                </c:pt>
                <c:pt idx="3">
                  <c:v>0</c:v>
                </c:pt>
                <c:pt idx="4">
                  <c:v>0</c:v>
                </c:pt>
              </c:numCache>
            </c:numRef>
          </c:val>
        </c:ser>
        <c:dLbls>
          <c:showLegendKey val="0"/>
          <c:showVal val="1"/>
          <c:showCatName val="0"/>
          <c:showSerName val="0"/>
          <c:showPercent val="0"/>
          <c:showBubbleSize val="0"/>
        </c:dLbls>
        <c:gapWidth val="150"/>
        <c:overlap val="100"/>
        <c:axId val="96095232"/>
        <c:axId val="268070272"/>
      </c:barChart>
      <c:catAx>
        <c:axId val="96095232"/>
        <c:scaling>
          <c:orientation val="minMax"/>
        </c:scaling>
        <c:delete val="0"/>
        <c:axPos val="l"/>
        <c:majorGridlines/>
        <c:numFmt formatCode="General" sourceLinked="0"/>
        <c:majorTickMark val="out"/>
        <c:minorTickMark val="none"/>
        <c:tickLblPos val="nextTo"/>
        <c:crossAx val="268070272"/>
        <c:crosses val="autoZero"/>
        <c:auto val="1"/>
        <c:lblAlgn val="ctr"/>
        <c:lblOffset val="100"/>
        <c:noMultiLvlLbl val="0"/>
      </c:catAx>
      <c:valAx>
        <c:axId val="268070272"/>
        <c:scaling>
          <c:orientation val="minMax"/>
        </c:scaling>
        <c:delete val="0"/>
        <c:axPos val="b"/>
        <c:numFmt formatCode="0%" sourceLinked="1"/>
        <c:majorTickMark val="out"/>
        <c:minorTickMark val="none"/>
        <c:tickLblPos val="nextTo"/>
        <c:crossAx val="96095232"/>
        <c:crosses val="autoZero"/>
        <c:crossBetween val="between"/>
      </c:valAx>
    </c:plotArea>
    <c:legend>
      <c:legendPos val="t"/>
      <c:layout>
        <c:manualLayout>
          <c:xMode val="edge"/>
          <c:yMode val="edge"/>
          <c:x val="0.11334620080567928"/>
          <c:y val="0"/>
          <c:w val="0.86244394241806166"/>
          <c:h val="6.9885655597398164E-2"/>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589201773507145E-2"/>
          <c:y val="0.14916561355756466"/>
          <c:w val="0.92141079822649252"/>
          <c:h val="0.74081159608135405"/>
        </c:manualLayout>
      </c:layout>
      <c:lineChart>
        <c:grouping val="standard"/>
        <c:varyColors val="0"/>
        <c:ser>
          <c:idx val="0"/>
          <c:order val="0"/>
          <c:tx>
            <c:strRef>
              <c:f>'Success and Retention by Year'!$J$17</c:f>
              <c:strCache>
                <c:ptCount val="1"/>
                <c:pt idx="0">
                  <c:v>Retention Rate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'Success and Retention by Year'!$K$16:$O$16</c:f>
              <c:strCache>
                <c:ptCount val="5"/>
                <c:pt idx="0">
                  <c:v>2010-11</c:v>
                </c:pt>
                <c:pt idx="1">
                  <c:v>2011-12</c:v>
                </c:pt>
                <c:pt idx="2">
                  <c:v>2012-13</c:v>
                </c:pt>
                <c:pt idx="3">
                  <c:v>2013-14</c:v>
                </c:pt>
                <c:pt idx="4">
                  <c:v>2014-15</c:v>
                </c:pt>
              </c:strCache>
            </c:strRef>
          </c:cat>
          <c:val>
            <c:numRef>
              <c:f>'Success and Retention by Year'!$K$17:$O$17</c:f>
              <c:numCache>
                <c:formatCode>0.0%</c:formatCode>
                <c:ptCount val="5"/>
                <c:pt idx="0">
                  <c:v>0.89206468597216937</c:v>
                </c:pt>
                <c:pt idx="1">
                  <c:v>0.90275768971169568</c:v>
                </c:pt>
                <c:pt idx="2">
                  <c:v>0.91471337248583762</c:v>
                </c:pt>
                <c:pt idx="3">
                  <c:v>0.91300186847741882</c:v>
                </c:pt>
                <c:pt idx="4">
                  <c:v>0.91433093165632418</c:v>
                </c:pt>
              </c:numCache>
            </c:numRef>
          </c:val>
          <c:smooth val="0"/>
        </c:ser>
        <c:ser>
          <c:idx val="1"/>
          <c:order val="1"/>
          <c:tx>
            <c:strRef>
              <c:f>'Success and Retention by Year'!$J$18</c:f>
              <c:strCache>
                <c:ptCount val="1"/>
                <c:pt idx="0">
                  <c:v>Success Rate</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'Success and Retention by Year'!$K$16:$O$16</c:f>
              <c:strCache>
                <c:ptCount val="5"/>
                <c:pt idx="0">
                  <c:v>2010-11</c:v>
                </c:pt>
                <c:pt idx="1">
                  <c:v>2011-12</c:v>
                </c:pt>
                <c:pt idx="2">
                  <c:v>2012-13</c:v>
                </c:pt>
                <c:pt idx="3">
                  <c:v>2013-14</c:v>
                </c:pt>
                <c:pt idx="4">
                  <c:v>2014-15</c:v>
                </c:pt>
              </c:strCache>
            </c:strRef>
          </c:cat>
          <c:val>
            <c:numRef>
              <c:f>'Success and Retention by Year'!$K$18:$O$18</c:f>
              <c:numCache>
                <c:formatCode>0.0%</c:formatCode>
                <c:ptCount val="5"/>
                <c:pt idx="0">
                  <c:v>0.71962146113879844</c:v>
                </c:pt>
                <c:pt idx="1">
                  <c:v>0.74344414934212533</c:v>
                </c:pt>
                <c:pt idx="2">
                  <c:v>0.73388087693203163</c:v>
                </c:pt>
                <c:pt idx="3">
                  <c:v>0.73375429858887831</c:v>
                </c:pt>
                <c:pt idx="4">
                  <c:v>0.73584018151130293</c:v>
                </c:pt>
              </c:numCache>
            </c:numRef>
          </c:val>
          <c:smooth val="0"/>
        </c:ser>
        <c:dLbls>
          <c:showLegendKey val="0"/>
          <c:showVal val="0"/>
          <c:showCatName val="0"/>
          <c:showSerName val="0"/>
          <c:showPercent val="0"/>
          <c:showBubbleSize val="0"/>
        </c:dLbls>
        <c:marker val="1"/>
        <c:smooth val="0"/>
        <c:axId val="266715648"/>
        <c:axId val="94579520"/>
      </c:lineChart>
      <c:catAx>
        <c:axId val="266715648"/>
        <c:scaling>
          <c:orientation val="minMax"/>
        </c:scaling>
        <c:delete val="0"/>
        <c:axPos val="b"/>
        <c:majorGridlines/>
        <c:numFmt formatCode="General" sourceLinked="0"/>
        <c:majorTickMark val="out"/>
        <c:minorTickMark val="none"/>
        <c:tickLblPos val="nextTo"/>
        <c:crossAx val="94579520"/>
        <c:crosses val="autoZero"/>
        <c:auto val="1"/>
        <c:lblAlgn val="ctr"/>
        <c:lblOffset val="100"/>
        <c:noMultiLvlLbl val="0"/>
      </c:catAx>
      <c:valAx>
        <c:axId val="94579520"/>
        <c:scaling>
          <c:orientation val="minMax"/>
        </c:scaling>
        <c:delete val="0"/>
        <c:axPos val="l"/>
        <c:numFmt formatCode="0.0%" sourceLinked="1"/>
        <c:majorTickMark val="out"/>
        <c:minorTickMark val="none"/>
        <c:tickLblPos val="nextTo"/>
        <c:crossAx val="266715648"/>
        <c:crosses val="autoZero"/>
        <c:crossBetween val="between"/>
      </c:valAx>
    </c:plotArea>
    <c:legend>
      <c:legendPos val="t"/>
      <c:layout>
        <c:manualLayout>
          <c:xMode val="edge"/>
          <c:yMode val="edge"/>
          <c:x val="0.31821981998012983"/>
          <c:y val="0"/>
          <c:w val="0.36356021175319186"/>
          <c:h val="9.9220375230874056E-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2953669788488"/>
          <c:y val="0.11196959755030614"/>
          <c:w val="0.89890421775272522"/>
          <c:h val="0.70070756780402454"/>
        </c:manualLayout>
      </c:layout>
      <c:barChart>
        <c:barDir val="col"/>
        <c:grouping val="clustered"/>
        <c:varyColors val="0"/>
        <c:ser>
          <c:idx val="0"/>
          <c:order val="0"/>
          <c:tx>
            <c:strRef>
              <c:f>Sheet1!$A$2</c:f>
              <c:strCache>
                <c:ptCount val="1"/>
                <c:pt idx="0">
                  <c:v>CHC</c:v>
                </c:pt>
              </c:strCache>
            </c:strRef>
          </c:tx>
          <c:spPr>
            <a:solidFill>
              <a:schemeClr val="accent3"/>
            </a:solidFill>
          </c:spPr>
          <c:invertIfNegative val="0"/>
          <c:dLbls>
            <c:spPr>
              <a:noFill/>
              <a:ln>
                <a:noFill/>
              </a:ln>
              <a:effectLst/>
            </c:spPr>
            <c:txPr>
              <a:bodyPr rot="540000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Cohort 2004-05 (Outcomes by 2009-10)</c:v>
                </c:pt>
                <c:pt idx="1">
                  <c:v>Cohort 2005-06 (Outcomes by 2010-11)</c:v>
                </c:pt>
                <c:pt idx="2">
                  <c:v>Cohort 2006-07 (Outcomes by 2011-12)</c:v>
                </c:pt>
                <c:pt idx="3">
                  <c:v>Cohort 2007-08 (Outcomes by 2012-13)</c:v>
                </c:pt>
                <c:pt idx="4">
                  <c:v>Cohort 2008-09 (Outcomes by 2013-14)</c:v>
                </c:pt>
              </c:strCache>
            </c:strRef>
          </c:cat>
          <c:val>
            <c:numRef>
              <c:f>Sheet1!$B$2:$F$2</c:f>
              <c:numCache>
                <c:formatCode>0.0%</c:formatCode>
                <c:ptCount val="5"/>
                <c:pt idx="0">
                  <c:v>0.4120000000000002</c:v>
                </c:pt>
                <c:pt idx="1">
                  <c:v>0.42200000000000026</c:v>
                </c:pt>
                <c:pt idx="2">
                  <c:v>0.4180000000000002</c:v>
                </c:pt>
                <c:pt idx="3">
                  <c:v>0.4</c:v>
                </c:pt>
                <c:pt idx="4">
                  <c:v>0.38800000000000023</c:v>
                </c:pt>
              </c:numCache>
            </c:numRef>
          </c:val>
        </c:ser>
        <c:ser>
          <c:idx val="1"/>
          <c:order val="1"/>
          <c:tx>
            <c:strRef>
              <c:f>Sheet1!$A$4</c:f>
              <c:strCache>
                <c:ptCount val="1"/>
                <c:pt idx="0">
                  <c:v>State-wide</c:v>
                </c:pt>
              </c:strCache>
            </c:strRef>
          </c:tx>
          <c:invertIfNegative val="0"/>
          <c:dLbls>
            <c:spPr>
              <a:noFill/>
              <a:ln>
                <a:noFill/>
              </a:ln>
              <a:effectLst/>
            </c:spPr>
            <c:txPr>
              <a:bodyPr rot="540000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Cohort 2004-05 (Outcomes by 2009-10)</c:v>
                </c:pt>
                <c:pt idx="1">
                  <c:v>Cohort 2005-06 (Outcomes by 2010-11)</c:v>
                </c:pt>
                <c:pt idx="2">
                  <c:v>Cohort 2006-07 (Outcomes by 2011-12)</c:v>
                </c:pt>
                <c:pt idx="3">
                  <c:v>Cohort 2007-08 (Outcomes by 2012-13)</c:v>
                </c:pt>
                <c:pt idx="4">
                  <c:v>Cohort 2008-09 (Outcomes by 2013-14)</c:v>
                </c:pt>
              </c:strCache>
            </c:strRef>
          </c:cat>
          <c:val>
            <c:numRef>
              <c:f>Sheet1!$B$4:$F$4</c:f>
              <c:numCache>
                <c:formatCode>0.0%</c:formatCode>
                <c:ptCount val="5"/>
                <c:pt idx="0">
                  <c:v>0.48100000000000021</c:v>
                </c:pt>
                <c:pt idx="1">
                  <c:v>0.49000000000000021</c:v>
                </c:pt>
                <c:pt idx="2">
                  <c:v>0.49200000000000027</c:v>
                </c:pt>
                <c:pt idx="3">
                  <c:v>0.48200000000000021</c:v>
                </c:pt>
                <c:pt idx="4">
                  <c:v>0.46800000000000008</c:v>
                </c:pt>
              </c:numCache>
            </c:numRef>
          </c:val>
        </c:ser>
        <c:dLbls>
          <c:showLegendKey val="0"/>
          <c:showVal val="1"/>
          <c:showCatName val="0"/>
          <c:showSerName val="0"/>
          <c:showPercent val="0"/>
          <c:showBubbleSize val="0"/>
        </c:dLbls>
        <c:gapWidth val="150"/>
        <c:axId val="267543552"/>
        <c:axId val="94581248"/>
      </c:barChart>
      <c:catAx>
        <c:axId val="267543552"/>
        <c:scaling>
          <c:orientation val="minMax"/>
        </c:scaling>
        <c:delete val="0"/>
        <c:axPos val="b"/>
        <c:majorGridlines/>
        <c:numFmt formatCode="General" sourceLinked="0"/>
        <c:majorTickMark val="out"/>
        <c:minorTickMark val="none"/>
        <c:tickLblPos val="nextTo"/>
        <c:crossAx val="94581248"/>
        <c:crosses val="autoZero"/>
        <c:auto val="1"/>
        <c:lblAlgn val="ctr"/>
        <c:lblOffset val="100"/>
        <c:noMultiLvlLbl val="0"/>
      </c:catAx>
      <c:valAx>
        <c:axId val="94581248"/>
        <c:scaling>
          <c:orientation val="minMax"/>
        </c:scaling>
        <c:delete val="0"/>
        <c:axPos val="l"/>
        <c:numFmt formatCode="0.0%" sourceLinked="1"/>
        <c:majorTickMark val="out"/>
        <c:minorTickMark val="none"/>
        <c:tickLblPos val="nextTo"/>
        <c:crossAx val="267543552"/>
        <c:crosses val="autoZero"/>
        <c:crossBetween val="between"/>
      </c:valAx>
    </c:plotArea>
    <c:legend>
      <c:legendPos val="t"/>
      <c:layout>
        <c:manualLayout>
          <c:xMode val="edge"/>
          <c:yMode val="edge"/>
          <c:x val="0.40790618442889631"/>
          <c:y val="0"/>
          <c:w val="0.18418748492093098"/>
          <c:h val="8.3717191601049942E-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2762631690546"/>
          <c:y val="0.10397708732354401"/>
          <c:w val="0.83365677479730049"/>
          <c:h val="0.78317762644534361"/>
        </c:manualLayout>
      </c:layout>
      <c:barChart>
        <c:barDir val="bar"/>
        <c:grouping val="percentStacked"/>
        <c:varyColors val="0"/>
        <c:ser>
          <c:idx val="0"/>
          <c:order val="0"/>
          <c:tx>
            <c:strRef>
              <c:f>Sheet!$B$6</c:f>
              <c:strCache>
                <c:ptCount val="1"/>
                <c:pt idx="0">
                  <c:v>In-State-Private (ISP) </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Sheet!$C$4:$G$4</c:f>
              <c:strCache>
                <c:ptCount val="5"/>
                <c:pt idx="0">
                  <c:v>2009-2010</c:v>
                </c:pt>
                <c:pt idx="1">
                  <c:v>2010-2011</c:v>
                </c:pt>
                <c:pt idx="2">
                  <c:v>2011-2012</c:v>
                </c:pt>
                <c:pt idx="3">
                  <c:v>2012-2013</c:v>
                </c:pt>
                <c:pt idx="4">
                  <c:v>2013-2014</c:v>
                </c:pt>
              </c:strCache>
            </c:strRef>
          </c:cat>
          <c:val>
            <c:numRef>
              <c:f>Sheet!$C$6:$G$6</c:f>
              <c:numCache>
                <c:formatCode>#,##0</c:formatCode>
                <c:ptCount val="5"/>
                <c:pt idx="0">
                  <c:v>144</c:v>
                </c:pt>
                <c:pt idx="1">
                  <c:v>113</c:v>
                </c:pt>
                <c:pt idx="2">
                  <c:v>113</c:v>
                </c:pt>
                <c:pt idx="3">
                  <c:v>122</c:v>
                </c:pt>
                <c:pt idx="4">
                  <c:v>123</c:v>
                </c:pt>
              </c:numCache>
            </c:numRef>
          </c:val>
        </c:ser>
        <c:ser>
          <c:idx val="1"/>
          <c:order val="1"/>
          <c:tx>
            <c:strRef>
              <c:f>Sheet!$B$7</c:f>
              <c:strCache>
                <c:ptCount val="1"/>
                <c:pt idx="0">
                  <c:v>Out-of-State (OOS) </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Sheet!$C$4:$G$4</c:f>
              <c:strCache>
                <c:ptCount val="5"/>
                <c:pt idx="0">
                  <c:v>2009-2010</c:v>
                </c:pt>
                <c:pt idx="1">
                  <c:v>2010-2011</c:v>
                </c:pt>
                <c:pt idx="2">
                  <c:v>2011-2012</c:v>
                </c:pt>
                <c:pt idx="3">
                  <c:v>2012-2013</c:v>
                </c:pt>
                <c:pt idx="4">
                  <c:v>2013-2014</c:v>
                </c:pt>
              </c:strCache>
            </c:strRef>
          </c:cat>
          <c:val>
            <c:numRef>
              <c:f>Sheet!$C$7:$G$7</c:f>
              <c:numCache>
                <c:formatCode>#,##0</c:formatCode>
                <c:ptCount val="5"/>
                <c:pt idx="0">
                  <c:v>73</c:v>
                </c:pt>
                <c:pt idx="1">
                  <c:v>81</c:v>
                </c:pt>
                <c:pt idx="2">
                  <c:v>98</c:v>
                </c:pt>
                <c:pt idx="3">
                  <c:v>90</c:v>
                </c:pt>
                <c:pt idx="4">
                  <c:v>99</c:v>
                </c:pt>
              </c:numCache>
            </c:numRef>
          </c:val>
        </c:ser>
        <c:ser>
          <c:idx val="2"/>
          <c:order val="2"/>
          <c:tx>
            <c:strRef>
              <c:f>Sheet!$B$8</c:f>
              <c:strCache>
                <c:ptCount val="1"/>
                <c:pt idx="0">
                  <c:v>CSU</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Sheet!$C$4:$G$4</c:f>
              <c:strCache>
                <c:ptCount val="5"/>
                <c:pt idx="0">
                  <c:v>2009-2010</c:v>
                </c:pt>
                <c:pt idx="1">
                  <c:v>2010-2011</c:v>
                </c:pt>
                <c:pt idx="2">
                  <c:v>2011-2012</c:v>
                </c:pt>
                <c:pt idx="3">
                  <c:v>2012-2013</c:v>
                </c:pt>
                <c:pt idx="4">
                  <c:v>2013-2014</c:v>
                </c:pt>
              </c:strCache>
            </c:strRef>
          </c:cat>
          <c:val>
            <c:numRef>
              <c:f>Sheet!$C$8:$G$8</c:f>
              <c:numCache>
                <c:formatCode>#,##0</c:formatCode>
                <c:ptCount val="5"/>
                <c:pt idx="0">
                  <c:v>163</c:v>
                </c:pt>
                <c:pt idx="1">
                  <c:v>253</c:v>
                </c:pt>
                <c:pt idx="2">
                  <c:v>263</c:v>
                </c:pt>
                <c:pt idx="3">
                  <c:v>154</c:v>
                </c:pt>
                <c:pt idx="4">
                  <c:v>213</c:v>
                </c:pt>
              </c:numCache>
            </c:numRef>
          </c:val>
        </c:ser>
        <c:ser>
          <c:idx val="3"/>
          <c:order val="3"/>
          <c:tx>
            <c:strRef>
              <c:f>Sheet!$B$9</c:f>
              <c:strCache>
                <c:ptCount val="1"/>
                <c:pt idx="0">
                  <c:v>UC</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Sheet!$C$4:$G$4</c:f>
              <c:strCache>
                <c:ptCount val="5"/>
                <c:pt idx="0">
                  <c:v>2009-2010</c:v>
                </c:pt>
                <c:pt idx="1">
                  <c:v>2010-2011</c:v>
                </c:pt>
                <c:pt idx="2">
                  <c:v>2011-2012</c:v>
                </c:pt>
                <c:pt idx="3">
                  <c:v>2012-2013</c:v>
                </c:pt>
                <c:pt idx="4">
                  <c:v>2013-2014</c:v>
                </c:pt>
              </c:strCache>
            </c:strRef>
          </c:cat>
          <c:val>
            <c:numRef>
              <c:f>Sheet!$C$9:$G$9</c:f>
              <c:numCache>
                <c:formatCode>#,##0</c:formatCode>
                <c:ptCount val="5"/>
                <c:pt idx="0">
                  <c:v>37</c:v>
                </c:pt>
                <c:pt idx="1">
                  <c:v>34</c:v>
                </c:pt>
                <c:pt idx="2">
                  <c:v>38</c:v>
                </c:pt>
                <c:pt idx="3">
                  <c:v>34</c:v>
                </c:pt>
                <c:pt idx="4">
                  <c:v>42</c:v>
                </c:pt>
              </c:numCache>
            </c:numRef>
          </c:val>
        </c:ser>
        <c:dLbls>
          <c:showLegendKey val="0"/>
          <c:showVal val="1"/>
          <c:showCatName val="0"/>
          <c:showSerName val="0"/>
          <c:showPercent val="0"/>
          <c:showBubbleSize val="0"/>
        </c:dLbls>
        <c:gapWidth val="150"/>
        <c:overlap val="100"/>
        <c:axId val="188227584"/>
        <c:axId val="94582976"/>
      </c:barChart>
      <c:catAx>
        <c:axId val="188227584"/>
        <c:scaling>
          <c:orientation val="minMax"/>
        </c:scaling>
        <c:delete val="0"/>
        <c:axPos val="l"/>
        <c:majorGridlines/>
        <c:numFmt formatCode="General" sourceLinked="0"/>
        <c:majorTickMark val="out"/>
        <c:minorTickMark val="none"/>
        <c:tickLblPos val="nextTo"/>
        <c:crossAx val="94582976"/>
        <c:crosses val="autoZero"/>
        <c:auto val="1"/>
        <c:lblAlgn val="ctr"/>
        <c:lblOffset val="100"/>
        <c:noMultiLvlLbl val="0"/>
      </c:catAx>
      <c:valAx>
        <c:axId val="94582976"/>
        <c:scaling>
          <c:orientation val="minMax"/>
        </c:scaling>
        <c:delete val="0"/>
        <c:axPos val="b"/>
        <c:numFmt formatCode="0%" sourceLinked="1"/>
        <c:majorTickMark val="out"/>
        <c:minorTickMark val="none"/>
        <c:tickLblPos val="nextTo"/>
        <c:crossAx val="188227584"/>
        <c:crosses val="autoZero"/>
        <c:crossBetween val="between"/>
      </c:valAx>
    </c:plotArea>
    <c:legend>
      <c:legendPos val="t"/>
      <c:layout>
        <c:manualLayout>
          <c:xMode val="edge"/>
          <c:yMode val="edge"/>
          <c:x val="0.23531068365757901"/>
          <c:y val="0"/>
          <c:w val="0.52937863268484275"/>
          <c:h val="8.6417746168825652E-2"/>
        </c:manualLayout>
      </c:layout>
      <c:overlay val="0"/>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96070045699826E-2"/>
          <c:y val="9.6985499763349248E-2"/>
          <c:w val="0.92420392995429979"/>
          <c:h val="0.81535699840798559"/>
        </c:manualLayout>
      </c:layout>
      <c:barChart>
        <c:barDir val="col"/>
        <c:grouping val="stacked"/>
        <c:varyColors val="0"/>
        <c:ser>
          <c:idx val="0"/>
          <c:order val="0"/>
          <c:tx>
            <c:strRef>
              <c:f>'Employees by Location'!$A$11</c:f>
              <c:strCache>
                <c:ptCount val="1"/>
                <c:pt idx="0">
                  <c:v>Full-Time Faculty</c:v>
                </c:pt>
              </c:strCache>
            </c:strRef>
          </c:tx>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'Employees by Location'!$B$10:$F$10</c:f>
              <c:strCache>
                <c:ptCount val="5"/>
                <c:pt idx="0">
                  <c:v>2010FA</c:v>
                </c:pt>
                <c:pt idx="1">
                  <c:v>2011FA</c:v>
                </c:pt>
                <c:pt idx="2">
                  <c:v>2012FA</c:v>
                </c:pt>
                <c:pt idx="3">
                  <c:v>2013FA</c:v>
                </c:pt>
                <c:pt idx="4">
                  <c:v>2014FA</c:v>
                </c:pt>
              </c:strCache>
            </c:strRef>
          </c:cat>
          <c:val>
            <c:numRef>
              <c:f>'Employees by Location'!$B$11:$F$11</c:f>
              <c:numCache>
                <c:formatCode>###0</c:formatCode>
                <c:ptCount val="5"/>
                <c:pt idx="0">
                  <c:v>69</c:v>
                </c:pt>
                <c:pt idx="1">
                  <c:v>69</c:v>
                </c:pt>
                <c:pt idx="2">
                  <c:v>70</c:v>
                </c:pt>
                <c:pt idx="3">
                  <c:v>71</c:v>
                </c:pt>
                <c:pt idx="4">
                  <c:v>70</c:v>
                </c:pt>
              </c:numCache>
            </c:numRef>
          </c:val>
        </c:ser>
        <c:ser>
          <c:idx val="1"/>
          <c:order val="1"/>
          <c:tx>
            <c:strRef>
              <c:f>'Employees by Location'!$A$12</c:f>
              <c:strCache>
                <c:ptCount val="1"/>
                <c:pt idx="0">
                  <c:v>Adjunct Faculty</c:v>
                </c:pt>
              </c:strCache>
            </c:strRef>
          </c:tx>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'Employees by Location'!$B$10:$F$10</c:f>
              <c:strCache>
                <c:ptCount val="5"/>
                <c:pt idx="0">
                  <c:v>2010FA</c:v>
                </c:pt>
                <c:pt idx="1">
                  <c:v>2011FA</c:v>
                </c:pt>
                <c:pt idx="2">
                  <c:v>2012FA</c:v>
                </c:pt>
                <c:pt idx="3">
                  <c:v>2013FA</c:v>
                </c:pt>
                <c:pt idx="4">
                  <c:v>2014FA</c:v>
                </c:pt>
              </c:strCache>
            </c:strRef>
          </c:cat>
          <c:val>
            <c:numRef>
              <c:f>'Employees by Location'!$B$12:$F$12</c:f>
              <c:numCache>
                <c:formatCode>###0</c:formatCode>
                <c:ptCount val="5"/>
                <c:pt idx="0">
                  <c:v>147</c:v>
                </c:pt>
                <c:pt idx="1">
                  <c:v>145</c:v>
                </c:pt>
                <c:pt idx="2">
                  <c:v>141</c:v>
                </c:pt>
                <c:pt idx="3">
                  <c:v>158</c:v>
                </c:pt>
                <c:pt idx="4">
                  <c:v>205</c:v>
                </c:pt>
              </c:numCache>
            </c:numRef>
          </c:val>
        </c:ser>
        <c:ser>
          <c:idx val="2"/>
          <c:order val="2"/>
          <c:tx>
            <c:strRef>
              <c:f>'Employees by Location'!$A$13</c:f>
              <c:strCache>
                <c:ptCount val="1"/>
                <c:pt idx="0">
                  <c:v>Manager</c:v>
                </c:pt>
              </c:strCache>
            </c:strRef>
          </c:tx>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'Employees by Location'!$B$10:$F$10</c:f>
              <c:strCache>
                <c:ptCount val="5"/>
                <c:pt idx="0">
                  <c:v>2010FA</c:v>
                </c:pt>
                <c:pt idx="1">
                  <c:v>2011FA</c:v>
                </c:pt>
                <c:pt idx="2">
                  <c:v>2012FA</c:v>
                </c:pt>
                <c:pt idx="3">
                  <c:v>2013FA</c:v>
                </c:pt>
                <c:pt idx="4">
                  <c:v>2014FA</c:v>
                </c:pt>
              </c:strCache>
            </c:strRef>
          </c:cat>
          <c:val>
            <c:numRef>
              <c:f>'Employees by Location'!$B$13:$F$13</c:f>
              <c:numCache>
                <c:formatCode>###0</c:formatCode>
                <c:ptCount val="5"/>
                <c:pt idx="0">
                  <c:v>15</c:v>
                </c:pt>
                <c:pt idx="1">
                  <c:v>19</c:v>
                </c:pt>
                <c:pt idx="2">
                  <c:v>17</c:v>
                </c:pt>
                <c:pt idx="3">
                  <c:v>18</c:v>
                </c:pt>
                <c:pt idx="4">
                  <c:v>20</c:v>
                </c:pt>
              </c:numCache>
            </c:numRef>
          </c:val>
        </c:ser>
        <c:ser>
          <c:idx val="3"/>
          <c:order val="3"/>
          <c:tx>
            <c:strRef>
              <c:f>'Employees by Location'!$A$14</c:f>
              <c:strCache>
                <c:ptCount val="1"/>
                <c:pt idx="0">
                  <c:v>Classified/Confidential</c:v>
                </c:pt>
              </c:strCache>
            </c:strRef>
          </c:tx>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'Employees by Location'!$B$10:$F$10</c:f>
              <c:strCache>
                <c:ptCount val="5"/>
                <c:pt idx="0">
                  <c:v>2010FA</c:v>
                </c:pt>
                <c:pt idx="1">
                  <c:v>2011FA</c:v>
                </c:pt>
                <c:pt idx="2">
                  <c:v>2012FA</c:v>
                </c:pt>
                <c:pt idx="3">
                  <c:v>2013FA</c:v>
                </c:pt>
                <c:pt idx="4">
                  <c:v>2014FA</c:v>
                </c:pt>
              </c:strCache>
            </c:strRef>
          </c:cat>
          <c:val>
            <c:numRef>
              <c:f>'Employees by Location'!$B$14:$F$14</c:f>
              <c:numCache>
                <c:formatCode>###0</c:formatCode>
                <c:ptCount val="5"/>
                <c:pt idx="0">
                  <c:v>92</c:v>
                </c:pt>
                <c:pt idx="1">
                  <c:v>99</c:v>
                </c:pt>
                <c:pt idx="2">
                  <c:v>92</c:v>
                </c:pt>
                <c:pt idx="3">
                  <c:v>85</c:v>
                </c:pt>
                <c:pt idx="4">
                  <c:v>86</c:v>
                </c:pt>
              </c:numCache>
            </c:numRef>
          </c:val>
        </c:ser>
        <c:dLbls>
          <c:showLegendKey val="0"/>
          <c:showVal val="1"/>
          <c:showCatName val="0"/>
          <c:showSerName val="0"/>
          <c:showPercent val="0"/>
          <c:showBubbleSize val="0"/>
        </c:dLbls>
        <c:gapWidth val="150"/>
        <c:overlap val="100"/>
        <c:axId val="188230656"/>
        <c:axId val="181780480"/>
      </c:barChart>
      <c:catAx>
        <c:axId val="188230656"/>
        <c:scaling>
          <c:orientation val="minMax"/>
        </c:scaling>
        <c:delete val="0"/>
        <c:axPos val="b"/>
        <c:majorGridlines/>
        <c:numFmt formatCode="General" sourceLinked="0"/>
        <c:majorTickMark val="out"/>
        <c:minorTickMark val="none"/>
        <c:tickLblPos val="nextTo"/>
        <c:crossAx val="181780480"/>
        <c:crosses val="autoZero"/>
        <c:auto val="1"/>
        <c:lblAlgn val="ctr"/>
        <c:lblOffset val="100"/>
        <c:noMultiLvlLbl val="0"/>
      </c:catAx>
      <c:valAx>
        <c:axId val="181780480"/>
        <c:scaling>
          <c:orientation val="minMax"/>
        </c:scaling>
        <c:delete val="0"/>
        <c:axPos val="l"/>
        <c:title>
          <c:tx>
            <c:rich>
              <a:bodyPr rot="-5400000" vert="horz"/>
              <a:lstStyle/>
              <a:p>
                <a:pPr>
                  <a:defRPr/>
                </a:pPr>
                <a:r>
                  <a:rPr lang="en-US"/>
                  <a:t>Employees</a:t>
                </a:r>
              </a:p>
            </c:rich>
          </c:tx>
          <c:layout/>
          <c:overlay val="0"/>
        </c:title>
        <c:numFmt formatCode="###0" sourceLinked="1"/>
        <c:majorTickMark val="out"/>
        <c:minorTickMark val="none"/>
        <c:tickLblPos val="nextTo"/>
        <c:crossAx val="188230656"/>
        <c:crosses val="autoZero"/>
        <c:crossBetween val="between"/>
      </c:valAx>
    </c:plotArea>
    <c:legend>
      <c:legendPos val="t"/>
      <c:layout>
        <c:manualLayout>
          <c:xMode val="edge"/>
          <c:yMode val="edge"/>
          <c:x val="0.10739147705546707"/>
          <c:y val="0"/>
          <c:w val="0.87574023544086799"/>
          <c:h val="7.9050987479024198E-2"/>
        </c:manualLayout>
      </c:layout>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22632499255049E-2"/>
          <c:y val="2.0729279164293991E-2"/>
          <c:w val="0.87715989087861956"/>
          <c:h val="0.46530093025628821"/>
        </c:manualLayout>
      </c:layout>
      <c:barChart>
        <c:barDir val="bar"/>
        <c:grouping val="percentStacked"/>
        <c:varyColors val="0"/>
        <c:ser>
          <c:idx val="0"/>
          <c:order val="0"/>
          <c:tx>
            <c:v>18-34</c:v>
          </c:tx>
          <c:invertIfNegative val="0"/>
          <c:dLbls>
            <c:dLbl>
              <c:idx val="0"/>
              <c:layout/>
              <c:tx>
                <c:rich>
                  <a:bodyPr/>
                  <a:lstStyle/>
                  <a:p>
                    <a:r>
                      <a:rPr lang="en-US">
                        <a:solidFill>
                          <a:schemeClr val="bg1"/>
                        </a:solidFill>
                      </a:rPr>
                      <a:t>20%</a:t>
                    </a:r>
                    <a:endParaRPr lang="en-US"/>
                  </a:p>
                </c:rich>
              </c:tx>
              <c:showLegendKey val="1"/>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21%</a:t>
                    </a:r>
                    <a:endParaRPr lang="en-US"/>
                  </a:p>
                </c:rich>
              </c:tx>
              <c:showLegendKey val="1"/>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17%</a:t>
                    </a:r>
                    <a:endParaRPr lang="en-US"/>
                  </a:p>
                </c:rich>
              </c:tx>
              <c:showLegendKey val="1"/>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21%</a:t>
                    </a:r>
                    <a:endParaRPr lang="en-US"/>
                  </a:p>
                </c:rich>
              </c:tx>
              <c:showLegendKey val="1"/>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24%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a:solidFill>
                      <a:schemeClr val="bg1"/>
                    </a:solidFill>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Employees by Demographi'!$D$3:$H$3</c:f>
              <c:strCache>
                <c:ptCount val="5"/>
                <c:pt idx="0">
                  <c:v>2010FA</c:v>
                </c:pt>
                <c:pt idx="1">
                  <c:v>2011FA</c:v>
                </c:pt>
                <c:pt idx="2">
                  <c:v>2012FA</c:v>
                </c:pt>
                <c:pt idx="3">
                  <c:v>2013FA</c:v>
                </c:pt>
                <c:pt idx="4">
                  <c:v>2014FA</c:v>
                </c:pt>
              </c:strCache>
            </c:strRef>
          </c:cat>
          <c:val>
            <c:numRef>
              <c:f>'Crafton Employees by Demographi'!$D$4:$H$4</c:f>
              <c:numCache>
                <c:formatCode>###0</c:formatCode>
                <c:ptCount val="5"/>
                <c:pt idx="0">
                  <c:v>66</c:v>
                </c:pt>
                <c:pt idx="1">
                  <c:v>70</c:v>
                </c:pt>
                <c:pt idx="2">
                  <c:v>54</c:v>
                </c:pt>
                <c:pt idx="3">
                  <c:v>70</c:v>
                </c:pt>
                <c:pt idx="4">
                  <c:v>91</c:v>
                </c:pt>
              </c:numCache>
            </c:numRef>
          </c:val>
        </c:ser>
        <c:ser>
          <c:idx val="1"/>
          <c:order val="1"/>
          <c:tx>
            <c:v>35-39</c:v>
          </c:tx>
          <c:invertIfNegative val="0"/>
          <c:dLbls>
            <c:dLbl>
              <c:idx val="0"/>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10%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10%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Demographi'!$D$6:$H$6</c:f>
              <c:numCache>
                <c:formatCode>###0</c:formatCode>
                <c:ptCount val="5"/>
                <c:pt idx="0">
                  <c:v>35</c:v>
                </c:pt>
                <c:pt idx="1">
                  <c:v>37</c:v>
                </c:pt>
                <c:pt idx="2">
                  <c:v>40</c:v>
                </c:pt>
                <c:pt idx="3">
                  <c:v>34</c:v>
                </c:pt>
                <c:pt idx="4">
                  <c:v>37</c:v>
                </c:pt>
              </c:numCache>
            </c:numRef>
          </c:val>
        </c:ser>
        <c:ser>
          <c:idx val="2"/>
          <c:order val="2"/>
          <c:tx>
            <c:v>40-44</c:v>
          </c:tx>
          <c:invertIfNegative val="0"/>
          <c:dLbls>
            <c:dLbl>
              <c:idx val="0"/>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Demographi'!$D$8:$H$8</c:f>
              <c:numCache>
                <c:formatCode>###0</c:formatCode>
                <c:ptCount val="5"/>
                <c:pt idx="0">
                  <c:v>42</c:v>
                </c:pt>
                <c:pt idx="1">
                  <c:v>37</c:v>
                </c:pt>
                <c:pt idx="2">
                  <c:v>36</c:v>
                </c:pt>
                <c:pt idx="3">
                  <c:v>42</c:v>
                </c:pt>
                <c:pt idx="4">
                  <c:v>51</c:v>
                </c:pt>
              </c:numCache>
            </c:numRef>
          </c:val>
        </c:ser>
        <c:ser>
          <c:idx val="3"/>
          <c:order val="3"/>
          <c:tx>
            <c:v>45-49</c:v>
          </c:tx>
          <c:invertIfNegative val="0"/>
          <c:dLbls>
            <c:dLbl>
              <c:idx val="0"/>
              <c:layout/>
              <c:tx>
                <c:rich>
                  <a:bodyPr/>
                  <a:lstStyle/>
                  <a:p>
                    <a:r>
                      <a:rPr lang="en-US">
                        <a:solidFill>
                          <a:schemeClr val="bg1"/>
                        </a:solidFill>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11%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Demographi'!$D$10:$H$10</c:f>
              <c:numCache>
                <c:formatCode>###0</c:formatCode>
                <c:ptCount val="5"/>
                <c:pt idx="0">
                  <c:v>35</c:v>
                </c:pt>
                <c:pt idx="1">
                  <c:v>43</c:v>
                </c:pt>
                <c:pt idx="2">
                  <c:v>50</c:v>
                </c:pt>
                <c:pt idx="3">
                  <c:v>40</c:v>
                </c:pt>
                <c:pt idx="4">
                  <c:v>41</c:v>
                </c:pt>
              </c:numCache>
            </c:numRef>
          </c:val>
        </c:ser>
        <c:ser>
          <c:idx val="4"/>
          <c:order val="4"/>
          <c:tx>
            <c:v>50-54</c:v>
          </c:tx>
          <c:invertIfNegative val="0"/>
          <c:dLbls>
            <c:dLbl>
              <c:idx val="0"/>
              <c:layout/>
              <c:tx>
                <c:rich>
                  <a:bodyPr/>
                  <a:lstStyle/>
                  <a:p>
                    <a:r>
                      <a:rPr lang="en-US">
                        <a:solidFill>
                          <a:schemeClr val="bg1"/>
                        </a:solidFill>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15%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14%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12%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Demographi'!$D$12:$H$12</c:f>
              <c:numCache>
                <c:formatCode>###0</c:formatCode>
                <c:ptCount val="5"/>
                <c:pt idx="0">
                  <c:v>53</c:v>
                </c:pt>
                <c:pt idx="1">
                  <c:v>50</c:v>
                </c:pt>
                <c:pt idx="2">
                  <c:v>45</c:v>
                </c:pt>
                <c:pt idx="3">
                  <c:v>47</c:v>
                </c:pt>
                <c:pt idx="4">
                  <c:v>46</c:v>
                </c:pt>
              </c:numCache>
            </c:numRef>
          </c:val>
        </c:ser>
        <c:ser>
          <c:idx val="5"/>
          <c:order val="5"/>
          <c:tx>
            <c:v>55-59</c:v>
          </c:tx>
          <c:invertIfNegative val="0"/>
          <c:dLbls>
            <c:dLbl>
              <c:idx val="0"/>
              <c:layout/>
              <c:tx>
                <c:rich>
                  <a:bodyPr/>
                  <a:lstStyle/>
                  <a:p>
                    <a:r>
                      <a:rPr lang="en-US">
                        <a:solidFill>
                          <a:schemeClr val="bg1"/>
                        </a:solidFill>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15%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14%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15%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16%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Demographi'!$D$14:$H$14</c:f>
              <c:numCache>
                <c:formatCode>###0</c:formatCode>
                <c:ptCount val="5"/>
                <c:pt idx="0">
                  <c:v>50</c:v>
                </c:pt>
                <c:pt idx="1">
                  <c:v>49</c:v>
                </c:pt>
                <c:pt idx="2">
                  <c:v>45</c:v>
                </c:pt>
                <c:pt idx="3">
                  <c:v>48</c:v>
                </c:pt>
                <c:pt idx="4">
                  <c:v>59</c:v>
                </c:pt>
              </c:numCache>
            </c:numRef>
          </c:val>
        </c:ser>
        <c:ser>
          <c:idx val="6"/>
          <c:order val="6"/>
          <c:tx>
            <c:v>60-64</c:v>
          </c:tx>
          <c:invertIfNegative val="0"/>
          <c:dLbls>
            <c:dLbl>
              <c:idx val="0"/>
              <c:layout>
                <c:manualLayout>
                  <c:x val="-9.1199270405836752E-3"/>
                  <c:y val="0"/>
                </c:manualLayout>
              </c:layout>
              <c:tx>
                <c:rich>
                  <a:bodyPr/>
                  <a:lstStyle/>
                  <a:p>
                    <a:r>
                      <a:rPr lang="en-US">
                        <a:solidFill>
                          <a:schemeClr val="bg1"/>
                        </a:solidFill>
                      </a:rPr>
                      <a:t>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7.2959416324669402E-3"/>
                  <c:y val="0"/>
                </c:manualLayout>
              </c:layout>
              <c:tx>
                <c:rich>
                  <a:bodyPr/>
                  <a:lstStyle/>
                  <a:p>
                    <a:r>
                      <a:rPr lang="en-US">
                        <a:solidFill>
                          <a:schemeClr val="bg1"/>
                        </a:solidFill>
                      </a:rPr>
                      <a:t>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1199270405836752E-3"/>
                  <c:y val="-2.8357496593269687E-17"/>
                </c:manualLayout>
              </c:layout>
              <c:tx>
                <c:rich>
                  <a:bodyPr/>
                  <a:lstStyle/>
                  <a:p>
                    <a:r>
                      <a:rPr lang="en-US">
                        <a:solidFill>
                          <a:schemeClr val="bg1"/>
                        </a:solidFill>
                      </a:rPr>
                      <a:t>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2767897856817289E-2"/>
                  <c:y val="0"/>
                </c:manualLayout>
              </c:layout>
              <c:tx>
                <c:rich>
                  <a:bodyPr/>
                  <a:lstStyle/>
                  <a:p>
                    <a:r>
                      <a:rPr lang="en-US">
                        <a:solidFill>
                          <a:schemeClr val="bg1"/>
                        </a:solidFill>
                      </a:rPr>
                      <a:t>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943912448700415E-2"/>
                  <c:y val="0"/>
                </c:manualLayout>
              </c:layout>
              <c:tx>
                <c:rich>
                  <a:bodyPr/>
                  <a:lstStyle/>
                  <a:p>
                    <a:r>
                      <a:rPr lang="en-US">
                        <a:solidFill>
                          <a:schemeClr val="bg1"/>
                        </a:solidFill>
                      </a:rPr>
                      <a:t>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Demographi'!$D$16:$H$16</c:f>
              <c:numCache>
                <c:formatCode>###0</c:formatCode>
                <c:ptCount val="5"/>
                <c:pt idx="0">
                  <c:v>24</c:v>
                </c:pt>
                <c:pt idx="1">
                  <c:v>24</c:v>
                </c:pt>
                <c:pt idx="2">
                  <c:v>29</c:v>
                </c:pt>
                <c:pt idx="3">
                  <c:v>31</c:v>
                </c:pt>
                <c:pt idx="4">
                  <c:v>35</c:v>
                </c:pt>
              </c:numCache>
            </c:numRef>
          </c:val>
        </c:ser>
        <c:ser>
          <c:idx val="7"/>
          <c:order val="7"/>
          <c:tx>
            <c:v>65-69</c:v>
          </c:tx>
          <c:invertIfNegative val="0"/>
          <c:dLbls>
            <c:dLbl>
              <c:idx val="0"/>
              <c:layout>
                <c:manualLayout>
                  <c:x val="-1.2767897856817154E-2"/>
                  <c:y val="0"/>
                </c:manualLayout>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1199270405836752E-3"/>
                  <c:y val="0"/>
                </c:manualLayout>
              </c:layout>
              <c:tx>
                <c:rich>
                  <a:bodyPr/>
                  <a:lstStyle/>
                  <a:p>
                    <a:r>
                      <a:rPr lang="en-US">
                        <a:solidFill>
                          <a:schemeClr val="bg1"/>
                        </a:solidFill>
                      </a:rPr>
                      <a:t>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943912448700415E-2"/>
                  <c:y val="2.8357496593269687E-17"/>
                </c:manualLayout>
              </c:layout>
              <c:tx>
                <c:rich>
                  <a:bodyPr/>
                  <a:lstStyle/>
                  <a:p>
                    <a:r>
                      <a:rPr lang="en-US">
                        <a:solidFill>
                          <a:schemeClr val="bg1"/>
                        </a:solidFill>
                      </a:rPr>
                      <a:t>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4719562243502112E-3"/>
                  <c:y val="0"/>
                </c:manualLayout>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943912448700415E-2"/>
                  <c:y val="0"/>
                </c:manualLayout>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Demographi'!$D$18:$H$18</c:f>
              <c:numCache>
                <c:formatCode>###0</c:formatCode>
                <c:ptCount val="5"/>
                <c:pt idx="0">
                  <c:v>11</c:v>
                </c:pt>
                <c:pt idx="1">
                  <c:v>12</c:v>
                </c:pt>
                <c:pt idx="2">
                  <c:v>12</c:v>
                </c:pt>
                <c:pt idx="3">
                  <c:v>10</c:v>
                </c:pt>
                <c:pt idx="4">
                  <c:v>12</c:v>
                </c:pt>
              </c:numCache>
            </c:numRef>
          </c:val>
        </c:ser>
        <c:ser>
          <c:idx val="8"/>
          <c:order val="8"/>
          <c:tx>
            <c:v>70+</c:v>
          </c:tx>
          <c:spPr>
            <a:solidFill>
              <a:schemeClr val="accent3">
                <a:lumMod val="50000"/>
              </a:schemeClr>
            </a:solidFill>
          </c:spPr>
          <c:invertIfNegative val="0"/>
          <c:dLbls>
            <c:dLbl>
              <c:idx val="0"/>
              <c:layout>
                <c:manualLayout>
                  <c:x val="-1.3375738475183837E-16"/>
                  <c:y val="0"/>
                </c:manualLayout>
              </c:layout>
              <c:tx>
                <c:rich>
                  <a:bodyPr/>
                  <a:lstStyle/>
                  <a:p>
                    <a:r>
                      <a:rPr lang="en-US">
                        <a:solidFill>
                          <a:schemeClr val="bg1"/>
                        </a:solidFill>
                      </a:rPr>
                      <a:t>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bg1"/>
                        </a:solidFill>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bg1"/>
                        </a:solidFill>
                      </a:rPr>
                      <a:t>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'Crafton Employees by Demographi'!$D$20:$H$20</c:f>
              <c:numCache>
                <c:formatCode>###0</c:formatCode>
                <c:ptCount val="5"/>
                <c:pt idx="0">
                  <c:v>7</c:v>
                </c:pt>
                <c:pt idx="1">
                  <c:v>10</c:v>
                </c:pt>
                <c:pt idx="2">
                  <c:v>9</c:v>
                </c:pt>
                <c:pt idx="3">
                  <c:v>10</c:v>
                </c:pt>
                <c:pt idx="4">
                  <c:v>9</c:v>
                </c:pt>
              </c:numCache>
            </c:numRef>
          </c:val>
        </c:ser>
        <c:dLbls>
          <c:showLegendKey val="0"/>
          <c:showVal val="1"/>
          <c:showCatName val="0"/>
          <c:showSerName val="0"/>
          <c:showPercent val="0"/>
          <c:showBubbleSize val="0"/>
        </c:dLbls>
        <c:gapWidth val="95"/>
        <c:overlap val="100"/>
        <c:axId val="267276800"/>
        <c:axId val="181782208"/>
      </c:barChart>
      <c:catAx>
        <c:axId val="267276800"/>
        <c:scaling>
          <c:orientation val="minMax"/>
        </c:scaling>
        <c:delete val="0"/>
        <c:axPos val="l"/>
        <c:majorGridlines/>
        <c:numFmt formatCode="General" sourceLinked="0"/>
        <c:majorTickMark val="none"/>
        <c:minorTickMark val="none"/>
        <c:tickLblPos val="nextTo"/>
        <c:crossAx val="181782208"/>
        <c:crosses val="autoZero"/>
        <c:auto val="1"/>
        <c:lblAlgn val="ctr"/>
        <c:lblOffset val="100"/>
        <c:noMultiLvlLbl val="0"/>
      </c:catAx>
      <c:valAx>
        <c:axId val="181782208"/>
        <c:scaling>
          <c:orientation val="minMax"/>
        </c:scaling>
        <c:delete val="0"/>
        <c:axPos val="b"/>
        <c:numFmt formatCode="0%" sourceLinked="1"/>
        <c:majorTickMark val="none"/>
        <c:minorTickMark val="none"/>
        <c:tickLblPos val="nextTo"/>
        <c:crossAx val="26727680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66202414113253"/>
          <c:y val="2.5749028206917181E-2"/>
          <c:w val="0.74090993500464264"/>
          <c:h val="0.49823342082239719"/>
        </c:manualLayout>
      </c:layout>
      <c:barChart>
        <c:barDir val="col"/>
        <c:grouping val="clustered"/>
        <c:varyColors val="0"/>
        <c:ser>
          <c:idx val="0"/>
          <c:order val="0"/>
          <c:tx>
            <c:v>Asian</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Demographi'!$D$38:$H$38</c:f>
              <c:numCache>
                <c:formatCode>###0</c:formatCode>
                <c:ptCount val="5"/>
                <c:pt idx="0">
                  <c:v>22</c:v>
                </c:pt>
                <c:pt idx="1">
                  <c:v>23</c:v>
                </c:pt>
                <c:pt idx="2">
                  <c:v>19</c:v>
                </c:pt>
                <c:pt idx="3">
                  <c:v>26</c:v>
                </c:pt>
                <c:pt idx="4">
                  <c:v>32</c:v>
                </c:pt>
              </c:numCache>
            </c:numRef>
          </c:val>
        </c:ser>
        <c:ser>
          <c:idx val="1"/>
          <c:order val="1"/>
          <c:tx>
            <c:v>Black or African American</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Demographi'!$D$40:$H$40</c:f>
              <c:numCache>
                <c:formatCode>###0</c:formatCode>
                <c:ptCount val="5"/>
                <c:pt idx="0">
                  <c:v>21</c:v>
                </c:pt>
                <c:pt idx="1">
                  <c:v>16</c:v>
                </c:pt>
                <c:pt idx="2">
                  <c:v>17</c:v>
                </c:pt>
                <c:pt idx="3">
                  <c:v>17</c:v>
                </c:pt>
                <c:pt idx="4">
                  <c:v>24</c:v>
                </c:pt>
              </c:numCache>
            </c:numRef>
          </c:val>
        </c:ser>
        <c:ser>
          <c:idx val="2"/>
          <c:order val="2"/>
          <c:tx>
            <c:v>Hispanic/Latino</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Demographi'!$D$42:$H$42</c:f>
              <c:numCache>
                <c:formatCode>###0</c:formatCode>
                <c:ptCount val="5"/>
                <c:pt idx="0">
                  <c:v>60</c:v>
                </c:pt>
                <c:pt idx="1">
                  <c:v>59</c:v>
                </c:pt>
                <c:pt idx="2">
                  <c:v>61</c:v>
                </c:pt>
                <c:pt idx="3">
                  <c:v>59</c:v>
                </c:pt>
                <c:pt idx="4">
                  <c:v>76</c:v>
                </c:pt>
              </c:numCache>
            </c:numRef>
          </c:val>
        </c:ser>
        <c:ser>
          <c:idx val="3"/>
          <c:order val="3"/>
          <c:tx>
            <c:v>American Indian</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Demographi'!$D$44:$H$44</c:f>
              <c:numCache>
                <c:formatCode>###0</c:formatCode>
                <c:ptCount val="5"/>
                <c:pt idx="0">
                  <c:v>4</c:v>
                </c:pt>
                <c:pt idx="1">
                  <c:v>3</c:v>
                </c:pt>
                <c:pt idx="2">
                  <c:v>3</c:v>
                </c:pt>
                <c:pt idx="3">
                  <c:v>3</c:v>
                </c:pt>
                <c:pt idx="4">
                  <c:v>4</c:v>
                </c:pt>
              </c:numCache>
            </c:numRef>
          </c:val>
        </c:ser>
        <c:ser>
          <c:idx val="4"/>
          <c:order val="4"/>
          <c:tx>
            <c:v>Pacific Islander</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Demographi'!$D$46:$H$46</c:f>
              <c:numCache>
                <c:formatCode>###0</c:formatCode>
                <c:ptCount val="5"/>
                <c:pt idx="0">
                  <c:v>1</c:v>
                </c:pt>
                <c:pt idx="1">
                  <c:v>0</c:v>
                </c:pt>
                <c:pt idx="2">
                  <c:v>0</c:v>
                </c:pt>
                <c:pt idx="3">
                  <c:v>0</c:v>
                </c:pt>
                <c:pt idx="4">
                  <c:v>0</c:v>
                </c:pt>
              </c:numCache>
            </c:numRef>
          </c:val>
        </c:ser>
        <c:ser>
          <c:idx val="5"/>
          <c:order val="5"/>
          <c:tx>
            <c:v>Caucasian</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Demographi'!$D$48:$H$48</c:f>
              <c:numCache>
                <c:formatCode>###0</c:formatCode>
                <c:ptCount val="5"/>
                <c:pt idx="0">
                  <c:v>213</c:v>
                </c:pt>
                <c:pt idx="1">
                  <c:v>228</c:v>
                </c:pt>
                <c:pt idx="2">
                  <c:v>216</c:v>
                </c:pt>
                <c:pt idx="3">
                  <c:v>224</c:v>
                </c:pt>
                <c:pt idx="4">
                  <c:v>238</c:v>
                </c:pt>
              </c:numCache>
            </c:numRef>
          </c:val>
        </c:ser>
        <c:ser>
          <c:idx val="6"/>
          <c:order val="6"/>
          <c:tx>
            <c:v>Two or More Races</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Demographi'!$D$50:$H$50</c:f>
              <c:numCache>
                <c:formatCode>###0</c:formatCode>
                <c:ptCount val="5"/>
                <c:pt idx="0">
                  <c:v>1</c:v>
                </c:pt>
                <c:pt idx="1">
                  <c:v>2</c:v>
                </c:pt>
                <c:pt idx="2">
                  <c:v>3</c:v>
                </c:pt>
                <c:pt idx="3">
                  <c:v>2</c:v>
                </c:pt>
                <c:pt idx="4">
                  <c:v>4</c:v>
                </c:pt>
              </c:numCache>
            </c:numRef>
          </c:val>
        </c:ser>
        <c:ser>
          <c:idx val="7"/>
          <c:order val="7"/>
          <c:tx>
            <c:v>Unknown</c:v>
          </c:tx>
          <c:invertIfNegative val="0"/>
          <c:cat>
            <c:strRef>
              <c:f>'Crafton Employees by Demographi'!$D$37:$H$37</c:f>
              <c:strCache>
                <c:ptCount val="5"/>
                <c:pt idx="0">
                  <c:v>2010FA</c:v>
                </c:pt>
                <c:pt idx="1">
                  <c:v>2011FA</c:v>
                </c:pt>
                <c:pt idx="2">
                  <c:v>2012FA</c:v>
                </c:pt>
                <c:pt idx="3">
                  <c:v>2013FA</c:v>
                </c:pt>
                <c:pt idx="4">
                  <c:v>2014FA</c:v>
                </c:pt>
              </c:strCache>
            </c:strRef>
          </c:cat>
          <c:val>
            <c:numRef>
              <c:f>'Crafton Employees by Demographi'!$D$52:$H$52</c:f>
              <c:numCache>
                <c:formatCode>###0</c:formatCode>
                <c:ptCount val="5"/>
                <c:pt idx="0">
                  <c:v>1</c:v>
                </c:pt>
                <c:pt idx="1">
                  <c:v>1</c:v>
                </c:pt>
                <c:pt idx="2">
                  <c:v>1</c:v>
                </c:pt>
                <c:pt idx="3">
                  <c:v>1</c:v>
                </c:pt>
                <c:pt idx="4">
                  <c:v>3</c:v>
                </c:pt>
              </c:numCache>
            </c:numRef>
          </c:val>
        </c:ser>
        <c:dLbls>
          <c:showLegendKey val="0"/>
          <c:showVal val="0"/>
          <c:showCatName val="0"/>
          <c:showSerName val="0"/>
          <c:showPercent val="0"/>
          <c:showBubbleSize val="0"/>
        </c:dLbls>
        <c:gapWidth val="150"/>
        <c:axId val="267278336"/>
        <c:axId val="181783936"/>
      </c:barChart>
      <c:catAx>
        <c:axId val="267278336"/>
        <c:scaling>
          <c:orientation val="minMax"/>
        </c:scaling>
        <c:delete val="0"/>
        <c:axPos val="b"/>
        <c:numFmt formatCode="General" sourceLinked="0"/>
        <c:majorTickMark val="none"/>
        <c:minorTickMark val="none"/>
        <c:tickLblPos val="nextTo"/>
        <c:crossAx val="181783936"/>
        <c:crosses val="autoZero"/>
        <c:auto val="1"/>
        <c:lblAlgn val="ctr"/>
        <c:lblOffset val="100"/>
        <c:noMultiLvlLbl val="0"/>
      </c:catAx>
      <c:valAx>
        <c:axId val="181783936"/>
        <c:scaling>
          <c:orientation val="minMax"/>
        </c:scaling>
        <c:delete val="0"/>
        <c:axPos val="l"/>
        <c:title>
          <c:tx>
            <c:rich>
              <a:bodyPr/>
              <a:lstStyle/>
              <a:p>
                <a:pPr>
                  <a:defRPr/>
                </a:pPr>
                <a:r>
                  <a:rPr lang="en-US"/>
                  <a:t>Employees</a:t>
                </a:r>
              </a:p>
            </c:rich>
          </c:tx>
          <c:layout/>
          <c:overlay val="0"/>
        </c:title>
        <c:numFmt formatCode="###0" sourceLinked="1"/>
        <c:majorTickMark val="none"/>
        <c:minorTickMark val="none"/>
        <c:tickLblPos val="nextTo"/>
        <c:crossAx val="26727833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77838703309713E-2"/>
          <c:y val="0.13758408105963499"/>
          <c:w val="0.91979412044246567"/>
          <c:h val="0.73806457913691026"/>
        </c:manualLayout>
      </c:layout>
      <c:barChart>
        <c:barDir val="col"/>
        <c:grouping val="clustered"/>
        <c:varyColors val="0"/>
        <c:ser>
          <c:idx val="0"/>
          <c:order val="0"/>
          <c:tx>
            <c:v>Female</c:v>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Employees by Demographi'!$D$3:$H$3</c:f>
              <c:strCache>
                <c:ptCount val="5"/>
                <c:pt idx="0">
                  <c:v>2010FA</c:v>
                </c:pt>
                <c:pt idx="1">
                  <c:v>2011FA</c:v>
                </c:pt>
                <c:pt idx="2">
                  <c:v>2012FA</c:v>
                </c:pt>
                <c:pt idx="3">
                  <c:v>2013FA</c:v>
                </c:pt>
                <c:pt idx="4">
                  <c:v>2014FA</c:v>
                </c:pt>
              </c:strCache>
            </c:strRef>
          </c:cat>
          <c:val>
            <c:numRef>
              <c:f>'Crafton Employees by Demographi'!$D$28:$H$28</c:f>
              <c:numCache>
                <c:formatCode>###0</c:formatCode>
                <c:ptCount val="5"/>
                <c:pt idx="0">
                  <c:v>180</c:v>
                </c:pt>
                <c:pt idx="1">
                  <c:v>183</c:v>
                </c:pt>
                <c:pt idx="2">
                  <c:v>174</c:v>
                </c:pt>
                <c:pt idx="3">
                  <c:v>181</c:v>
                </c:pt>
                <c:pt idx="4">
                  <c:v>204</c:v>
                </c:pt>
              </c:numCache>
            </c:numRef>
          </c:val>
        </c:ser>
        <c:ser>
          <c:idx val="1"/>
          <c:order val="1"/>
          <c:tx>
            <c:v>Male</c:v>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Employees by Demographi'!$D$3:$H$3</c:f>
              <c:strCache>
                <c:ptCount val="5"/>
                <c:pt idx="0">
                  <c:v>2010FA</c:v>
                </c:pt>
                <c:pt idx="1">
                  <c:v>2011FA</c:v>
                </c:pt>
                <c:pt idx="2">
                  <c:v>2012FA</c:v>
                </c:pt>
                <c:pt idx="3">
                  <c:v>2013FA</c:v>
                </c:pt>
                <c:pt idx="4">
                  <c:v>2014FA</c:v>
                </c:pt>
              </c:strCache>
            </c:strRef>
          </c:cat>
          <c:val>
            <c:numRef>
              <c:f>'Crafton Employees by Demographi'!$D$30:$H$30</c:f>
              <c:numCache>
                <c:formatCode>###0</c:formatCode>
                <c:ptCount val="5"/>
                <c:pt idx="0">
                  <c:v>143</c:v>
                </c:pt>
                <c:pt idx="1">
                  <c:v>149</c:v>
                </c:pt>
                <c:pt idx="2">
                  <c:v>146</c:v>
                </c:pt>
                <c:pt idx="3">
                  <c:v>151</c:v>
                </c:pt>
                <c:pt idx="4">
                  <c:v>177</c:v>
                </c:pt>
              </c:numCache>
            </c:numRef>
          </c:val>
        </c:ser>
        <c:dLbls>
          <c:showLegendKey val="0"/>
          <c:showVal val="1"/>
          <c:showCatName val="0"/>
          <c:showSerName val="0"/>
          <c:showPercent val="0"/>
          <c:showBubbleSize val="0"/>
        </c:dLbls>
        <c:gapWidth val="150"/>
        <c:axId val="267277824"/>
        <c:axId val="181785664"/>
      </c:barChart>
      <c:catAx>
        <c:axId val="267277824"/>
        <c:scaling>
          <c:orientation val="minMax"/>
        </c:scaling>
        <c:delete val="0"/>
        <c:axPos val="b"/>
        <c:majorGridlines/>
        <c:numFmt formatCode="General" sourceLinked="0"/>
        <c:majorTickMark val="out"/>
        <c:minorTickMark val="none"/>
        <c:tickLblPos val="nextTo"/>
        <c:crossAx val="181785664"/>
        <c:crosses val="autoZero"/>
        <c:auto val="1"/>
        <c:lblAlgn val="ctr"/>
        <c:lblOffset val="100"/>
        <c:noMultiLvlLbl val="0"/>
      </c:catAx>
      <c:valAx>
        <c:axId val="181785664"/>
        <c:scaling>
          <c:orientation val="minMax"/>
        </c:scaling>
        <c:delete val="0"/>
        <c:axPos val="l"/>
        <c:title>
          <c:tx>
            <c:rich>
              <a:bodyPr rot="-5400000" vert="horz"/>
              <a:lstStyle/>
              <a:p>
                <a:pPr>
                  <a:defRPr/>
                </a:pPr>
                <a:r>
                  <a:rPr lang="en-US" dirty="0" smtClean="0"/>
                  <a:t>Employees</a:t>
                </a:r>
                <a:endParaRPr lang="en-US" dirty="0"/>
              </a:p>
            </c:rich>
          </c:tx>
          <c:layout/>
          <c:overlay val="0"/>
        </c:title>
        <c:numFmt formatCode="###0" sourceLinked="1"/>
        <c:majorTickMark val="out"/>
        <c:minorTickMark val="none"/>
        <c:tickLblPos val="nextTo"/>
        <c:crossAx val="267277824"/>
        <c:crosses val="autoZero"/>
        <c:crossBetween val="between"/>
      </c:valAx>
    </c:plotArea>
    <c:legend>
      <c:legendPos val="t"/>
      <c:layout>
        <c:manualLayout>
          <c:xMode val="edge"/>
          <c:yMode val="edge"/>
          <c:x val="0.41955519487640647"/>
          <c:y val="0"/>
          <c:w val="0.16088961024718695"/>
          <c:h val="0.11214209851675518"/>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32027101263512E-2"/>
          <c:y val="9.2817620770376696E-2"/>
          <c:w val="0.89166407251419177"/>
          <c:h val="0.82199559927988242"/>
        </c:manualLayout>
      </c:layout>
      <c:barChart>
        <c:barDir val="bar"/>
        <c:grouping val="percentStacked"/>
        <c:varyColors val="0"/>
        <c:ser>
          <c:idx val="0"/>
          <c:order val="0"/>
          <c:tx>
            <c:v>19 &amp; Under</c:v>
          </c:tx>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'Crafton Hills - Age Groups'!$B$26:$I$26</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Age Groups'!$B$27:$I$27</c:f>
              <c:numCache>
                <c:formatCode>_(* #,##0_);_(* \(#,##0\);_(* "-"??_);_(@_)</c:formatCode>
                <c:ptCount val="8"/>
                <c:pt idx="0">
                  <c:v>309737</c:v>
                </c:pt>
                <c:pt idx="1">
                  <c:v>307770</c:v>
                </c:pt>
                <c:pt idx="2">
                  <c:v>305031</c:v>
                </c:pt>
                <c:pt idx="3">
                  <c:v>304475</c:v>
                </c:pt>
                <c:pt idx="4">
                  <c:v>305474</c:v>
                </c:pt>
                <c:pt idx="5">
                  <c:v>303262</c:v>
                </c:pt>
                <c:pt idx="6">
                  <c:v>314913</c:v>
                </c:pt>
                <c:pt idx="7">
                  <c:v>305689</c:v>
                </c:pt>
              </c:numCache>
            </c:numRef>
          </c:val>
        </c:ser>
        <c:ser>
          <c:idx val="1"/>
          <c:order val="1"/>
          <c:tx>
            <c:v>20-24</c:v>
          </c:tx>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'Crafton Hills - Age Groups'!$B$26:$I$26</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Age Groups'!$B$28:$I$28</c:f>
              <c:numCache>
                <c:formatCode>_(* #,##0_);_(* \(#,##0\);_(* "-"??_);_(@_)</c:formatCode>
                <c:ptCount val="8"/>
                <c:pt idx="0">
                  <c:v>73299</c:v>
                </c:pt>
                <c:pt idx="1">
                  <c:v>76836</c:v>
                </c:pt>
                <c:pt idx="2">
                  <c:v>79512</c:v>
                </c:pt>
                <c:pt idx="3">
                  <c:v>81003</c:v>
                </c:pt>
                <c:pt idx="4">
                  <c:v>81665</c:v>
                </c:pt>
                <c:pt idx="5">
                  <c:v>85783</c:v>
                </c:pt>
                <c:pt idx="6">
                  <c:v>69455</c:v>
                </c:pt>
                <c:pt idx="7">
                  <c:v>66880</c:v>
                </c:pt>
              </c:numCache>
            </c:numRef>
          </c:val>
        </c:ser>
        <c:ser>
          <c:idx val="2"/>
          <c:order val="2"/>
          <c:tx>
            <c:v>25-29</c:v>
          </c:tx>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'Crafton Hills - Age Groups'!$B$26:$I$26</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Age Groups'!$B$29:$I$29</c:f>
              <c:numCache>
                <c:formatCode>_(* #,##0_);_(* \(#,##0\);_(* "-"??_);_(@_)</c:formatCode>
                <c:ptCount val="8"/>
                <c:pt idx="0">
                  <c:v>67246</c:v>
                </c:pt>
                <c:pt idx="1">
                  <c:v>68516</c:v>
                </c:pt>
                <c:pt idx="2">
                  <c:v>69450</c:v>
                </c:pt>
                <c:pt idx="3">
                  <c:v>71821</c:v>
                </c:pt>
                <c:pt idx="4">
                  <c:v>74269</c:v>
                </c:pt>
                <c:pt idx="5">
                  <c:v>76762</c:v>
                </c:pt>
                <c:pt idx="6">
                  <c:v>85644</c:v>
                </c:pt>
                <c:pt idx="7">
                  <c:v>72164</c:v>
                </c:pt>
              </c:numCache>
            </c:numRef>
          </c:val>
        </c:ser>
        <c:ser>
          <c:idx val="3"/>
          <c:order val="3"/>
          <c:tx>
            <c:v>30-49</c:v>
          </c:tx>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'Crafton Hills - Age Groups'!$B$26:$I$26</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Age Groups'!$B$30:$I$30</c:f>
              <c:numCache>
                <c:formatCode>_(* #,##0_);_(* \(#,##0\);_(* "-"??_);_(@_)</c:formatCode>
                <c:ptCount val="8"/>
                <c:pt idx="0">
                  <c:v>246018</c:v>
                </c:pt>
                <c:pt idx="1">
                  <c:v>246882</c:v>
                </c:pt>
                <c:pt idx="2">
                  <c:v>246900</c:v>
                </c:pt>
                <c:pt idx="3">
                  <c:v>248202</c:v>
                </c:pt>
                <c:pt idx="4">
                  <c:v>249367</c:v>
                </c:pt>
                <c:pt idx="5">
                  <c:v>250591</c:v>
                </c:pt>
                <c:pt idx="6">
                  <c:v>260194</c:v>
                </c:pt>
                <c:pt idx="7">
                  <c:v>274207</c:v>
                </c:pt>
              </c:numCache>
            </c:numRef>
          </c:val>
        </c:ser>
        <c:ser>
          <c:idx val="4"/>
          <c:order val="4"/>
          <c:tx>
            <c:v>50 &amp; Over</c:v>
          </c:tx>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'Crafton Hills - Age Groups'!$B$26:$I$26</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Age Groups'!$B$31:$I$31</c:f>
              <c:numCache>
                <c:formatCode>_(* #,##0_);_(* \(#,##0\);_(* "-"??_);_(@_)</c:formatCode>
                <c:ptCount val="8"/>
                <c:pt idx="0">
                  <c:v>237128</c:v>
                </c:pt>
                <c:pt idx="1">
                  <c:v>245568</c:v>
                </c:pt>
                <c:pt idx="2">
                  <c:v>253395</c:v>
                </c:pt>
                <c:pt idx="3">
                  <c:v>260513</c:v>
                </c:pt>
                <c:pt idx="4">
                  <c:v>267067</c:v>
                </c:pt>
                <c:pt idx="5">
                  <c:v>273113</c:v>
                </c:pt>
                <c:pt idx="6">
                  <c:v>297847</c:v>
                </c:pt>
                <c:pt idx="7">
                  <c:v>319609</c:v>
                </c:pt>
              </c:numCache>
            </c:numRef>
          </c:val>
        </c:ser>
        <c:dLbls>
          <c:showLegendKey val="0"/>
          <c:showVal val="0"/>
          <c:showCatName val="0"/>
          <c:showSerName val="0"/>
          <c:showPercent val="0"/>
          <c:showBubbleSize val="0"/>
        </c:dLbls>
        <c:gapWidth val="150"/>
        <c:overlap val="100"/>
        <c:axId val="267545088"/>
        <c:axId val="181787392"/>
      </c:barChart>
      <c:catAx>
        <c:axId val="267545088"/>
        <c:scaling>
          <c:orientation val="minMax"/>
        </c:scaling>
        <c:delete val="0"/>
        <c:axPos val="l"/>
        <c:majorGridlines/>
        <c:numFmt formatCode="General" sourceLinked="1"/>
        <c:majorTickMark val="out"/>
        <c:minorTickMark val="none"/>
        <c:tickLblPos val="nextTo"/>
        <c:crossAx val="181787392"/>
        <c:crosses val="autoZero"/>
        <c:auto val="1"/>
        <c:lblAlgn val="ctr"/>
        <c:lblOffset val="100"/>
        <c:noMultiLvlLbl val="0"/>
      </c:catAx>
      <c:valAx>
        <c:axId val="181787392"/>
        <c:scaling>
          <c:orientation val="minMax"/>
        </c:scaling>
        <c:delete val="0"/>
        <c:axPos val="b"/>
        <c:numFmt formatCode="0%" sourceLinked="1"/>
        <c:majorTickMark val="out"/>
        <c:minorTickMark val="none"/>
        <c:tickLblPos val="nextTo"/>
        <c:crossAx val="267545088"/>
        <c:crosses val="autoZero"/>
        <c:crossBetween val="between"/>
      </c:valAx>
    </c:plotArea>
    <c:legend>
      <c:legendPos val="r"/>
      <c:layout>
        <c:manualLayout>
          <c:xMode val="edge"/>
          <c:yMode val="edge"/>
          <c:x val="0.1936205330102968"/>
          <c:y val="2.1007129176420546E-3"/>
          <c:w val="0.62458202099737536"/>
          <c:h val="8.0622995042287232E-2"/>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093044619422616E-2"/>
          <c:y val="0.10644526440640377"/>
          <c:w val="0.90906194225721759"/>
          <c:h val="0.79781993710561783"/>
        </c:manualLayout>
      </c:layout>
      <c:barChart>
        <c:barDir val="bar"/>
        <c:grouping val="percentStacked"/>
        <c:varyColors val="0"/>
        <c:ser>
          <c:idx val="0"/>
          <c:order val="0"/>
          <c:tx>
            <c:strRef>
              <c:f>'Counties &amp; CA Age Group Graphs'!$B$2</c:f>
              <c:strCache>
                <c:ptCount val="1"/>
                <c:pt idx="0">
                  <c:v>19 and Under</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numRef>
              <c:f>'Counties &amp; CA Age Group Graphs'!$A$3:$A$10</c:f>
              <c:numCache>
                <c:formatCode>General</c:formatCode>
                <c:ptCount val="8"/>
                <c:pt idx="0">
                  <c:v>2010</c:v>
                </c:pt>
                <c:pt idx="1">
                  <c:v>2011</c:v>
                </c:pt>
                <c:pt idx="2">
                  <c:v>2012</c:v>
                </c:pt>
                <c:pt idx="3">
                  <c:v>2013</c:v>
                </c:pt>
                <c:pt idx="4">
                  <c:v>2014</c:v>
                </c:pt>
                <c:pt idx="5">
                  <c:v>2015</c:v>
                </c:pt>
                <c:pt idx="6">
                  <c:v>2020</c:v>
                </c:pt>
                <c:pt idx="7">
                  <c:v>2025</c:v>
                </c:pt>
              </c:numCache>
            </c:numRef>
          </c:cat>
          <c:val>
            <c:numRef>
              <c:f>'Counties &amp; CA Age Group Graphs'!$B$3:$B$10</c:f>
              <c:numCache>
                <c:formatCode>_(* #,##0_);_(* \(#,##0\);_(* "-"??_);_(@_)</c:formatCode>
                <c:ptCount val="8"/>
                <c:pt idx="0">
                  <c:v>1361383</c:v>
                </c:pt>
                <c:pt idx="1">
                  <c:v>1353619</c:v>
                </c:pt>
                <c:pt idx="2">
                  <c:v>1346063</c:v>
                </c:pt>
                <c:pt idx="3">
                  <c:v>1348107</c:v>
                </c:pt>
                <c:pt idx="4">
                  <c:v>1356049</c:v>
                </c:pt>
                <c:pt idx="5">
                  <c:v>1353226</c:v>
                </c:pt>
                <c:pt idx="6">
                  <c:v>1420472</c:v>
                </c:pt>
                <c:pt idx="7">
                  <c:v>1372877</c:v>
                </c:pt>
              </c:numCache>
            </c:numRef>
          </c:val>
        </c:ser>
        <c:ser>
          <c:idx val="1"/>
          <c:order val="1"/>
          <c:tx>
            <c:strRef>
              <c:f>'Counties &amp; CA Age Group Graphs'!$C$2</c:f>
              <c:strCache>
                <c:ptCount val="1"/>
                <c:pt idx="0">
                  <c:v>20-24</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numRef>
              <c:f>'Counties &amp; CA Age Group Graphs'!$A$3:$A$10</c:f>
              <c:numCache>
                <c:formatCode>General</c:formatCode>
                <c:ptCount val="8"/>
                <c:pt idx="0">
                  <c:v>2010</c:v>
                </c:pt>
                <c:pt idx="1">
                  <c:v>2011</c:v>
                </c:pt>
                <c:pt idx="2">
                  <c:v>2012</c:v>
                </c:pt>
                <c:pt idx="3">
                  <c:v>2013</c:v>
                </c:pt>
                <c:pt idx="4">
                  <c:v>2014</c:v>
                </c:pt>
                <c:pt idx="5">
                  <c:v>2015</c:v>
                </c:pt>
                <c:pt idx="6">
                  <c:v>2020</c:v>
                </c:pt>
                <c:pt idx="7">
                  <c:v>2025</c:v>
                </c:pt>
              </c:numCache>
            </c:numRef>
          </c:cat>
          <c:val>
            <c:numRef>
              <c:f>'Counties &amp; CA Age Group Graphs'!$C$3:$C$10</c:f>
              <c:numCache>
                <c:formatCode>_(* #,##0_);_(* \(#,##0\);_(* "-"??_);_(@_)</c:formatCode>
                <c:ptCount val="8"/>
                <c:pt idx="0">
                  <c:v>316595</c:v>
                </c:pt>
                <c:pt idx="1">
                  <c:v>333119</c:v>
                </c:pt>
                <c:pt idx="2">
                  <c:v>344452</c:v>
                </c:pt>
                <c:pt idx="3">
                  <c:v>353178</c:v>
                </c:pt>
                <c:pt idx="4">
                  <c:v>358227</c:v>
                </c:pt>
                <c:pt idx="5">
                  <c:v>376421</c:v>
                </c:pt>
                <c:pt idx="6">
                  <c:v>308507</c:v>
                </c:pt>
                <c:pt idx="7">
                  <c:v>300268</c:v>
                </c:pt>
              </c:numCache>
            </c:numRef>
          </c:val>
        </c:ser>
        <c:ser>
          <c:idx val="2"/>
          <c:order val="2"/>
          <c:tx>
            <c:strRef>
              <c:f>'Counties &amp; CA Age Group Graphs'!$D$2</c:f>
              <c:strCache>
                <c:ptCount val="1"/>
                <c:pt idx="0">
                  <c:v>25-29</c:v>
                </c:pt>
              </c:strCache>
            </c:strRef>
          </c:tx>
          <c:invertIfNegative val="0"/>
          <c:dLbls>
            <c:dLbl>
              <c:idx val="7"/>
              <c:layout>
                <c:manualLayout>
                  <c:x val="1.5130023640661941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'Counties &amp; CA Age Group Graphs'!$A$3:$A$10</c:f>
              <c:numCache>
                <c:formatCode>General</c:formatCode>
                <c:ptCount val="8"/>
                <c:pt idx="0">
                  <c:v>2010</c:v>
                </c:pt>
                <c:pt idx="1">
                  <c:v>2011</c:v>
                </c:pt>
                <c:pt idx="2">
                  <c:v>2012</c:v>
                </c:pt>
                <c:pt idx="3">
                  <c:v>2013</c:v>
                </c:pt>
                <c:pt idx="4">
                  <c:v>2014</c:v>
                </c:pt>
                <c:pt idx="5">
                  <c:v>2015</c:v>
                </c:pt>
                <c:pt idx="6">
                  <c:v>2020</c:v>
                </c:pt>
                <c:pt idx="7">
                  <c:v>2025</c:v>
                </c:pt>
              </c:numCache>
            </c:numRef>
          </c:cat>
          <c:val>
            <c:numRef>
              <c:f>'Counties &amp; CA Age Group Graphs'!$D$3:$D$10</c:f>
              <c:numCache>
                <c:formatCode>_(* #,##0_);_(* \(#,##0\);_(* "-"??_);_(@_)</c:formatCode>
                <c:ptCount val="8"/>
                <c:pt idx="0">
                  <c:v>291308</c:v>
                </c:pt>
                <c:pt idx="1">
                  <c:v>296762</c:v>
                </c:pt>
                <c:pt idx="2">
                  <c:v>300642</c:v>
                </c:pt>
                <c:pt idx="3">
                  <c:v>311589</c:v>
                </c:pt>
                <c:pt idx="4">
                  <c:v>322936</c:v>
                </c:pt>
                <c:pt idx="5">
                  <c:v>334567</c:v>
                </c:pt>
                <c:pt idx="6">
                  <c:v>377768</c:v>
                </c:pt>
                <c:pt idx="7">
                  <c:v>318167</c:v>
                </c:pt>
              </c:numCache>
            </c:numRef>
          </c:val>
        </c:ser>
        <c:ser>
          <c:idx val="3"/>
          <c:order val="3"/>
          <c:tx>
            <c:strRef>
              <c:f>'Counties &amp; CA Age Group Graphs'!$E$2</c:f>
              <c:strCache>
                <c:ptCount val="1"/>
                <c:pt idx="0">
                  <c:v>30-49</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numRef>
              <c:f>'Counties &amp; CA Age Group Graphs'!$A$3:$A$10</c:f>
              <c:numCache>
                <c:formatCode>General</c:formatCode>
                <c:ptCount val="8"/>
                <c:pt idx="0">
                  <c:v>2010</c:v>
                </c:pt>
                <c:pt idx="1">
                  <c:v>2011</c:v>
                </c:pt>
                <c:pt idx="2">
                  <c:v>2012</c:v>
                </c:pt>
                <c:pt idx="3">
                  <c:v>2013</c:v>
                </c:pt>
                <c:pt idx="4">
                  <c:v>2014</c:v>
                </c:pt>
                <c:pt idx="5">
                  <c:v>2015</c:v>
                </c:pt>
                <c:pt idx="6">
                  <c:v>2020</c:v>
                </c:pt>
                <c:pt idx="7">
                  <c:v>2025</c:v>
                </c:pt>
              </c:numCache>
            </c:numRef>
          </c:cat>
          <c:val>
            <c:numRef>
              <c:f>'Counties &amp; CA Age Group Graphs'!$E$3:$E$10</c:f>
              <c:numCache>
                <c:formatCode>_(* #,##0_);_(* \(#,##0\);_(* "-"??_);_(@_)</c:formatCode>
                <c:ptCount val="8"/>
                <c:pt idx="0">
                  <c:v>1139174</c:v>
                </c:pt>
                <c:pt idx="1">
                  <c:v>1143657</c:v>
                </c:pt>
                <c:pt idx="2">
                  <c:v>1146601</c:v>
                </c:pt>
                <c:pt idx="3">
                  <c:v>1155586</c:v>
                </c:pt>
                <c:pt idx="4">
                  <c:v>1163265</c:v>
                </c:pt>
                <c:pt idx="5">
                  <c:v>1170721</c:v>
                </c:pt>
                <c:pt idx="6">
                  <c:v>1218673</c:v>
                </c:pt>
                <c:pt idx="7">
                  <c:v>1279114</c:v>
                </c:pt>
              </c:numCache>
            </c:numRef>
          </c:val>
        </c:ser>
        <c:ser>
          <c:idx val="4"/>
          <c:order val="4"/>
          <c:tx>
            <c:strRef>
              <c:f>'Counties &amp; CA Age Group Graphs'!$F$2</c:f>
              <c:strCache>
                <c:ptCount val="1"/>
                <c:pt idx="0">
                  <c:v>50 and Over</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numRef>
              <c:f>'Counties &amp; CA Age Group Graphs'!$A$3:$A$10</c:f>
              <c:numCache>
                <c:formatCode>General</c:formatCode>
                <c:ptCount val="8"/>
                <c:pt idx="0">
                  <c:v>2010</c:v>
                </c:pt>
                <c:pt idx="1">
                  <c:v>2011</c:v>
                </c:pt>
                <c:pt idx="2">
                  <c:v>2012</c:v>
                </c:pt>
                <c:pt idx="3">
                  <c:v>2013</c:v>
                </c:pt>
                <c:pt idx="4">
                  <c:v>2014</c:v>
                </c:pt>
                <c:pt idx="5">
                  <c:v>2015</c:v>
                </c:pt>
                <c:pt idx="6">
                  <c:v>2020</c:v>
                </c:pt>
                <c:pt idx="7">
                  <c:v>2025</c:v>
                </c:pt>
              </c:numCache>
            </c:numRef>
          </c:cat>
          <c:val>
            <c:numRef>
              <c:f>'Counties &amp; CA Age Group Graphs'!$F$3:$F$10</c:f>
              <c:numCache>
                <c:formatCode>_(* #,##0_);_(* \(#,##0\);_(* "-"??_);_(@_)</c:formatCode>
                <c:ptCount val="8"/>
                <c:pt idx="0">
                  <c:v>1135093</c:v>
                </c:pt>
                <c:pt idx="1">
                  <c:v>1174989</c:v>
                </c:pt>
                <c:pt idx="2">
                  <c:v>1212849</c:v>
                </c:pt>
                <c:pt idx="3">
                  <c:v>1248128</c:v>
                </c:pt>
                <c:pt idx="4">
                  <c:v>1280527</c:v>
                </c:pt>
                <c:pt idx="5">
                  <c:v>1310388</c:v>
                </c:pt>
                <c:pt idx="6">
                  <c:v>1430464</c:v>
                </c:pt>
                <c:pt idx="7">
                  <c:v>1527213</c:v>
                </c:pt>
              </c:numCache>
            </c:numRef>
          </c:val>
        </c:ser>
        <c:dLbls>
          <c:showLegendKey val="0"/>
          <c:showVal val="0"/>
          <c:showCatName val="0"/>
          <c:showSerName val="0"/>
          <c:showPercent val="0"/>
          <c:showBubbleSize val="0"/>
        </c:dLbls>
        <c:gapWidth val="150"/>
        <c:overlap val="100"/>
        <c:axId val="268931584"/>
        <c:axId val="184574528"/>
      </c:barChart>
      <c:catAx>
        <c:axId val="268931584"/>
        <c:scaling>
          <c:orientation val="minMax"/>
        </c:scaling>
        <c:delete val="0"/>
        <c:axPos val="l"/>
        <c:majorGridlines/>
        <c:numFmt formatCode="General" sourceLinked="1"/>
        <c:majorTickMark val="out"/>
        <c:minorTickMark val="none"/>
        <c:tickLblPos val="nextTo"/>
        <c:crossAx val="184574528"/>
        <c:crosses val="autoZero"/>
        <c:auto val="1"/>
        <c:lblAlgn val="ctr"/>
        <c:lblOffset val="100"/>
        <c:noMultiLvlLbl val="0"/>
      </c:catAx>
      <c:valAx>
        <c:axId val="184574528"/>
        <c:scaling>
          <c:orientation val="minMax"/>
        </c:scaling>
        <c:delete val="0"/>
        <c:axPos val="b"/>
        <c:numFmt formatCode="0%" sourceLinked="1"/>
        <c:majorTickMark val="out"/>
        <c:minorTickMark val="none"/>
        <c:tickLblPos val="nextTo"/>
        <c:crossAx val="268931584"/>
        <c:crosses val="autoZero"/>
        <c:crossBetween val="between"/>
      </c:valAx>
    </c:plotArea>
    <c:legend>
      <c:legendPos val="r"/>
      <c:layout>
        <c:manualLayout>
          <c:xMode val="edge"/>
          <c:yMode val="edge"/>
          <c:x val="9.9450787401574689E-2"/>
          <c:y val="1.5894661212042507E-4"/>
          <c:w val="0.83054921259842673"/>
          <c:h val="0.1207246440563646"/>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892823308329094E-2"/>
          <c:y val="0.15877678080937563"/>
          <c:w val="0.91303694730466356"/>
          <c:h val="0.77000332322800746"/>
        </c:manualLayout>
      </c:layout>
      <c:barChart>
        <c:barDir val="bar"/>
        <c:grouping val="percentStacked"/>
        <c:varyColors val="0"/>
        <c:ser>
          <c:idx val="0"/>
          <c:order val="0"/>
          <c:tx>
            <c:v>White</c:v>
          </c:tx>
          <c:invertIfNegative val="0"/>
          <c:dLbls>
            <c:dLbl>
              <c:idx val="0"/>
              <c:layout>
                <c:manualLayout>
                  <c:x val="0"/>
                  <c:y val="-3.6697247706422298E-2"/>
                </c:manualLayout>
              </c:layout>
              <c:showLegendKey val="0"/>
              <c:showVal val="1"/>
              <c:showCatName val="0"/>
              <c:showSerName val="0"/>
              <c:showPercent val="0"/>
              <c:showBubbleSize val="0"/>
            </c:dLbl>
            <c:dLbl>
              <c:idx val="1"/>
              <c:layout>
                <c:manualLayout>
                  <c:x val="0"/>
                  <c:y val="-3.9143730886850282E-2"/>
                </c:manualLayout>
              </c:layout>
              <c:showLegendKey val="0"/>
              <c:showVal val="1"/>
              <c:showCatName val="0"/>
              <c:showSerName val="0"/>
              <c:showPercent val="0"/>
              <c:showBubbleSize val="0"/>
            </c:dLbl>
            <c:dLbl>
              <c:idx val="2"/>
              <c:layout>
                <c:manualLayout>
                  <c:x val="0"/>
                  <c:y val="-3.6697247706422298E-2"/>
                </c:manualLayout>
              </c:layout>
              <c:showLegendKey val="0"/>
              <c:showVal val="1"/>
              <c:showCatName val="0"/>
              <c:showSerName val="0"/>
              <c:showPercent val="0"/>
              <c:showBubbleSize val="0"/>
            </c:dLbl>
            <c:dLbl>
              <c:idx val="3"/>
              <c:layout>
                <c:manualLayout>
                  <c:x val="0"/>
                  <c:y val="-3.6697247706422298E-2"/>
                </c:manualLayout>
              </c:layout>
              <c:showLegendKey val="0"/>
              <c:showVal val="1"/>
              <c:showCatName val="0"/>
              <c:showSerName val="0"/>
              <c:showPercent val="0"/>
              <c:showBubbleSize val="0"/>
            </c:dLbl>
            <c:dLbl>
              <c:idx val="4"/>
              <c:layout>
                <c:manualLayout>
                  <c:x val="0"/>
                  <c:y val="-3.6697247706422298E-2"/>
                </c:manualLayout>
              </c:layout>
              <c:showLegendKey val="0"/>
              <c:showVal val="1"/>
              <c:showCatName val="0"/>
              <c:showSerName val="0"/>
              <c:showPercent val="0"/>
              <c:showBubbleSize val="0"/>
            </c:dLbl>
            <c:dLbl>
              <c:idx val="5"/>
              <c:layout>
                <c:manualLayout>
                  <c:x val="0"/>
                  <c:y val="-3.6697247706422298E-2"/>
                </c:manualLayout>
              </c:layout>
              <c:showLegendKey val="0"/>
              <c:showVal val="1"/>
              <c:showCatName val="0"/>
              <c:showSerName val="0"/>
              <c:showPercent val="0"/>
              <c:showBubbleSize val="0"/>
            </c:dLbl>
            <c:dLbl>
              <c:idx val="6"/>
              <c:layout>
                <c:manualLayout>
                  <c:x val="1.5779092702169625E-3"/>
                  <c:y val="-3.6697247706422298E-2"/>
                </c:manualLayout>
              </c:layout>
              <c:showLegendKey val="0"/>
              <c:showVal val="1"/>
              <c:showCatName val="0"/>
              <c:showSerName val="0"/>
              <c:showPercent val="0"/>
              <c:showBubbleSize val="0"/>
            </c:dLbl>
            <c:dLbl>
              <c:idx val="7"/>
              <c:layout>
                <c:manualLayout>
                  <c:x val="0"/>
                  <c:y val="-3.66972477064222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Race'!$B$33:$I$33</c:f>
              <c:numCache>
                <c:formatCode>_(* #,##0_);_(* \(#,##0\);_(* "-"??_);_(@_)</c:formatCode>
                <c:ptCount val="8"/>
                <c:pt idx="0">
                  <c:v>286544</c:v>
                </c:pt>
                <c:pt idx="1">
                  <c:v>284241</c:v>
                </c:pt>
                <c:pt idx="2">
                  <c:v>281541</c:v>
                </c:pt>
                <c:pt idx="3">
                  <c:v>278424</c:v>
                </c:pt>
                <c:pt idx="4">
                  <c:v>275847</c:v>
                </c:pt>
                <c:pt idx="5">
                  <c:v>273803</c:v>
                </c:pt>
                <c:pt idx="6">
                  <c:v>265876</c:v>
                </c:pt>
                <c:pt idx="7">
                  <c:v>259315</c:v>
                </c:pt>
              </c:numCache>
            </c:numRef>
          </c:val>
        </c:ser>
        <c:ser>
          <c:idx val="1"/>
          <c:order val="1"/>
          <c:tx>
            <c:v>Black/African American</c:v>
          </c:tx>
          <c:invertIfNegative val="0"/>
          <c:dLbls>
            <c:dLbl>
              <c:idx val="0"/>
              <c:layout>
                <c:manualLayout>
                  <c:x val="-4.2603550295857946E-2"/>
                  <c:y val="-3.6697247706422298E-2"/>
                </c:manualLayout>
              </c:layout>
              <c:showLegendKey val="0"/>
              <c:showVal val="1"/>
              <c:showCatName val="0"/>
              <c:showSerName val="0"/>
              <c:showPercent val="0"/>
              <c:showBubbleSize val="0"/>
            </c:dLbl>
            <c:dLbl>
              <c:idx val="1"/>
              <c:layout>
                <c:manualLayout>
                  <c:x val="-4.7337278106509013E-2"/>
                  <c:y val="-3.6697247706422298E-2"/>
                </c:manualLayout>
              </c:layout>
              <c:showLegendKey val="0"/>
              <c:showVal val="1"/>
              <c:showCatName val="0"/>
              <c:showSerName val="0"/>
              <c:showPercent val="0"/>
              <c:showBubbleSize val="0"/>
            </c:dLbl>
            <c:dLbl>
              <c:idx val="2"/>
              <c:layout>
                <c:manualLayout>
                  <c:x val="-4.2603550295857946E-2"/>
                  <c:y val="-3.9143730886850282E-2"/>
                </c:manualLayout>
              </c:layout>
              <c:showLegendKey val="0"/>
              <c:showVal val="1"/>
              <c:showCatName val="0"/>
              <c:showSerName val="0"/>
              <c:showPercent val="0"/>
              <c:showBubbleSize val="0"/>
            </c:dLbl>
            <c:dLbl>
              <c:idx val="3"/>
              <c:layout>
                <c:manualLayout>
                  <c:x val="-4.5759368836291912E-2"/>
                  <c:y val="-3.6697247706422298E-2"/>
                </c:manualLayout>
              </c:layout>
              <c:showLegendKey val="0"/>
              <c:showVal val="1"/>
              <c:showCatName val="0"/>
              <c:showSerName val="0"/>
              <c:showPercent val="0"/>
              <c:showBubbleSize val="0"/>
            </c:dLbl>
            <c:dLbl>
              <c:idx val="4"/>
              <c:layout>
                <c:manualLayout>
                  <c:x val="-4.7337278106509013E-2"/>
                  <c:y val="-3.6697247706422298E-2"/>
                </c:manualLayout>
              </c:layout>
              <c:showLegendKey val="0"/>
              <c:showVal val="1"/>
              <c:showCatName val="0"/>
              <c:showSerName val="0"/>
              <c:showPercent val="0"/>
              <c:showBubbleSize val="0"/>
            </c:dLbl>
            <c:dLbl>
              <c:idx val="5"/>
              <c:layout>
                <c:manualLayout>
                  <c:x val="-5.0493096646943146E-2"/>
                  <c:y val="-3.9143730886850282E-2"/>
                </c:manualLayout>
              </c:layout>
              <c:showLegendKey val="0"/>
              <c:showVal val="1"/>
              <c:showCatName val="0"/>
              <c:showSerName val="0"/>
              <c:showPercent val="0"/>
              <c:showBubbleSize val="0"/>
            </c:dLbl>
            <c:dLbl>
              <c:idx val="6"/>
              <c:layout>
                <c:manualLayout>
                  <c:x val="-4.5759368836291912E-2"/>
                  <c:y val="-3.425076452599389E-2"/>
                </c:manualLayout>
              </c:layout>
              <c:showLegendKey val="0"/>
              <c:showVal val="1"/>
              <c:showCatName val="0"/>
              <c:showSerName val="0"/>
              <c:showPercent val="0"/>
              <c:showBubbleSize val="0"/>
            </c:dLbl>
            <c:dLbl>
              <c:idx val="7"/>
              <c:layout>
                <c:manualLayout>
                  <c:x val="-4.7337278106509013E-2"/>
                  <c:y val="-3.91437308868502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Race'!$B$34:$I$34</c:f>
              <c:numCache>
                <c:formatCode>_(* #,##0_);_(* \(#,##0\);_(* "-"??_);_(@_)</c:formatCode>
                <c:ptCount val="8"/>
                <c:pt idx="0">
                  <c:v>89892</c:v>
                </c:pt>
                <c:pt idx="1">
                  <c:v>90699</c:v>
                </c:pt>
                <c:pt idx="2">
                  <c:v>91053</c:v>
                </c:pt>
                <c:pt idx="3">
                  <c:v>91628</c:v>
                </c:pt>
                <c:pt idx="4">
                  <c:v>92253</c:v>
                </c:pt>
                <c:pt idx="5">
                  <c:v>92937</c:v>
                </c:pt>
                <c:pt idx="6">
                  <c:v>94895</c:v>
                </c:pt>
                <c:pt idx="7">
                  <c:v>94626</c:v>
                </c:pt>
              </c:numCache>
            </c:numRef>
          </c:val>
        </c:ser>
        <c:ser>
          <c:idx val="2"/>
          <c:order val="2"/>
          <c:tx>
            <c:v>Asian</c:v>
          </c:tx>
          <c:invertIfNegative val="0"/>
          <c:dLbls>
            <c:dLbl>
              <c:idx val="0"/>
              <c:layout>
                <c:manualLayout>
                  <c:x val="-2.8402366863905411E-2"/>
                  <c:y val="-3.6697247706422298E-2"/>
                </c:manualLayout>
              </c:layout>
              <c:showLegendKey val="0"/>
              <c:showVal val="1"/>
              <c:showCatName val="0"/>
              <c:showSerName val="0"/>
              <c:showPercent val="0"/>
              <c:showBubbleSize val="0"/>
            </c:dLbl>
            <c:dLbl>
              <c:idx val="1"/>
              <c:layout>
                <c:manualLayout>
                  <c:x val="-3.3136094674556214E-2"/>
                  <c:y val="-3.6697247706422298E-2"/>
                </c:manualLayout>
              </c:layout>
              <c:showLegendKey val="0"/>
              <c:showVal val="1"/>
              <c:showCatName val="0"/>
              <c:showSerName val="0"/>
              <c:showPercent val="0"/>
              <c:showBubbleSize val="0"/>
            </c:dLbl>
            <c:dLbl>
              <c:idx val="2"/>
              <c:layout>
                <c:manualLayout>
                  <c:x val="-3.1558185404339252E-2"/>
                  <c:y val="-3.9143730886850282E-2"/>
                </c:manualLayout>
              </c:layout>
              <c:showLegendKey val="0"/>
              <c:showVal val="1"/>
              <c:showCatName val="0"/>
              <c:showSerName val="0"/>
              <c:showPercent val="0"/>
              <c:showBubbleSize val="0"/>
            </c:dLbl>
            <c:dLbl>
              <c:idx val="3"/>
              <c:layout>
                <c:manualLayout>
                  <c:x val="-2.9980276134122283E-2"/>
                  <c:y val="-3.6697247706422291E-2"/>
                </c:manualLayout>
              </c:layout>
              <c:showLegendKey val="0"/>
              <c:showVal val="1"/>
              <c:showCatName val="0"/>
              <c:showSerName val="0"/>
              <c:showPercent val="0"/>
              <c:showBubbleSize val="0"/>
            </c:dLbl>
            <c:dLbl>
              <c:idx val="4"/>
              <c:layout>
                <c:manualLayout>
                  <c:x val="-2.6824457593688362E-2"/>
                  <c:y val="-4.1590214067278294E-2"/>
                </c:manualLayout>
              </c:layout>
              <c:showLegendKey val="0"/>
              <c:showVal val="1"/>
              <c:showCatName val="0"/>
              <c:showSerName val="0"/>
              <c:showPercent val="0"/>
              <c:showBubbleSize val="0"/>
            </c:dLbl>
            <c:dLbl>
              <c:idx val="5"/>
              <c:layout>
                <c:manualLayout>
                  <c:x val="-3.3136094674556214E-2"/>
                  <c:y val="-3.9143730886850282E-2"/>
                </c:manualLayout>
              </c:layout>
              <c:showLegendKey val="0"/>
              <c:showVal val="1"/>
              <c:showCatName val="0"/>
              <c:showSerName val="0"/>
              <c:showPercent val="0"/>
              <c:showBubbleSize val="0"/>
            </c:dLbl>
            <c:dLbl>
              <c:idx val="6"/>
              <c:layout>
                <c:manualLayout>
                  <c:x val="-3.3136094674556214E-2"/>
                  <c:y val="-3.6697247706422298E-2"/>
                </c:manualLayout>
              </c:layout>
              <c:showLegendKey val="0"/>
              <c:showVal val="1"/>
              <c:showCatName val="0"/>
              <c:showSerName val="0"/>
              <c:showPercent val="0"/>
              <c:showBubbleSize val="0"/>
            </c:dLbl>
            <c:dLbl>
              <c:idx val="7"/>
              <c:layout>
                <c:manualLayout>
                  <c:x val="-3.1558185404339252E-2"/>
                  <c:y val="-3.66972477064222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Race'!$B$35:$I$35</c:f>
              <c:numCache>
                <c:formatCode>_(* #,##0_);_(* \(#,##0\);_(* "-"??_);_(@_)</c:formatCode>
                <c:ptCount val="8"/>
                <c:pt idx="0">
                  <c:v>50012</c:v>
                </c:pt>
                <c:pt idx="1">
                  <c:v>51531</c:v>
                </c:pt>
                <c:pt idx="2">
                  <c:v>52532</c:v>
                </c:pt>
                <c:pt idx="3">
                  <c:v>54071</c:v>
                </c:pt>
                <c:pt idx="4">
                  <c:v>55622</c:v>
                </c:pt>
                <c:pt idx="5">
                  <c:v>57064</c:v>
                </c:pt>
                <c:pt idx="6">
                  <c:v>62042</c:v>
                </c:pt>
                <c:pt idx="7">
                  <c:v>65527</c:v>
                </c:pt>
              </c:numCache>
            </c:numRef>
          </c:val>
        </c:ser>
        <c:ser>
          <c:idx val="3"/>
          <c:order val="3"/>
          <c:tx>
            <c:v>Native Hawaiian/Pacific Islander</c:v>
          </c:tx>
          <c:invertIfNegative val="0"/>
          <c:dLbls>
            <c:dLbl>
              <c:idx val="0"/>
              <c:layout>
                <c:manualLayout>
                  <c:x val="0"/>
                  <c:y val="-3.6697247706422291E-2"/>
                </c:manualLayout>
              </c:layout>
              <c:showLegendKey val="0"/>
              <c:showVal val="1"/>
              <c:showCatName val="0"/>
              <c:showSerName val="0"/>
              <c:showPercent val="0"/>
              <c:showBubbleSize val="0"/>
            </c:dLbl>
            <c:dLbl>
              <c:idx val="1"/>
              <c:layout>
                <c:manualLayout>
                  <c:x val="0"/>
                  <c:y val="-3.6697247706422291E-2"/>
                </c:manualLayout>
              </c:layout>
              <c:showLegendKey val="0"/>
              <c:showVal val="1"/>
              <c:showCatName val="0"/>
              <c:showSerName val="0"/>
              <c:showPercent val="0"/>
              <c:showBubbleSize val="0"/>
            </c:dLbl>
            <c:dLbl>
              <c:idx val="2"/>
              <c:layout>
                <c:manualLayout>
                  <c:x val="0"/>
                  <c:y val="-4.1590214067278294E-2"/>
                </c:manualLayout>
              </c:layout>
              <c:showLegendKey val="0"/>
              <c:showVal val="1"/>
              <c:showCatName val="0"/>
              <c:showSerName val="0"/>
              <c:showPercent val="0"/>
              <c:showBubbleSize val="0"/>
            </c:dLbl>
            <c:dLbl>
              <c:idx val="3"/>
              <c:layout>
                <c:manualLayout>
                  <c:x val="1.5779092702169625E-3"/>
                  <c:y val="-3.6697247706422291E-2"/>
                </c:manualLayout>
              </c:layout>
              <c:showLegendKey val="0"/>
              <c:showVal val="1"/>
              <c:showCatName val="0"/>
              <c:showSerName val="0"/>
              <c:showPercent val="0"/>
              <c:showBubbleSize val="0"/>
            </c:dLbl>
            <c:dLbl>
              <c:idx val="4"/>
              <c:layout>
                <c:manualLayout>
                  <c:x val="5.7856004883784454E-17"/>
                  <c:y val="-4.4036697247707042E-2"/>
                </c:manualLayout>
              </c:layout>
              <c:showLegendKey val="0"/>
              <c:showVal val="1"/>
              <c:showCatName val="0"/>
              <c:showSerName val="0"/>
              <c:showPercent val="0"/>
              <c:showBubbleSize val="0"/>
            </c:dLbl>
            <c:dLbl>
              <c:idx val="5"/>
              <c:layout>
                <c:manualLayout>
                  <c:x val="1.5779092702169625E-3"/>
                  <c:y val="-4.1590214067278294E-2"/>
                </c:manualLayout>
              </c:layout>
              <c:showLegendKey val="0"/>
              <c:showVal val="1"/>
              <c:showCatName val="0"/>
              <c:showSerName val="0"/>
              <c:showPercent val="0"/>
              <c:showBubbleSize val="0"/>
            </c:dLbl>
            <c:dLbl>
              <c:idx val="6"/>
              <c:layout>
                <c:manualLayout>
                  <c:x val="5.7856004883784454E-17"/>
                  <c:y val="-3.6697247706422291E-2"/>
                </c:manualLayout>
              </c:layout>
              <c:showLegendKey val="0"/>
              <c:showVal val="1"/>
              <c:showCatName val="0"/>
              <c:showSerName val="0"/>
              <c:showPercent val="0"/>
              <c:showBubbleSize val="0"/>
            </c:dLbl>
            <c:dLbl>
              <c:idx val="7"/>
              <c:layout>
                <c:manualLayout>
                  <c:x val="1.5779092702169625E-3"/>
                  <c:y val="-3.66972477064222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Race'!$B$38:$I$38</c:f>
              <c:numCache>
                <c:formatCode>_(* #,##0_);_(* \(#,##0\);_(* "-"??_);_(@_)</c:formatCode>
                <c:ptCount val="8"/>
                <c:pt idx="0">
                  <c:v>1264</c:v>
                </c:pt>
                <c:pt idx="1">
                  <c:v>1274</c:v>
                </c:pt>
                <c:pt idx="2">
                  <c:v>1293</c:v>
                </c:pt>
                <c:pt idx="3">
                  <c:v>1318</c:v>
                </c:pt>
                <c:pt idx="4">
                  <c:v>1341</c:v>
                </c:pt>
                <c:pt idx="5">
                  <c:v>1363</c:v>
                </c:pt>
                <c:pt idx="6">
                  <c:v>1438</c:v>
                </c:pt>
                <c:pt idx="7">
                  <c:v>1474</c:v>
                </c:pt>
              </c:numCache>
            </c:numRef>
          </c:val>
        </c:ser>
        <c:ser>
          <c:idx val="4"/>
          <c:order val="4"/>
          <c:tx>
            <c:v>Hispanic/Latino</c:v>
          </c:tx>
          <c:invertIfNegative val="0"/>
          <c:dLbls>
            <c:dLbl>
              <c:idx val="0"/>
              <c:layout>
                <c:manualLayout>
                  <c:x val="0"/>
                  <c:y val="-3.6697247706422291E-2"/>
                </c:manualLayout>
              </c:layout>
              <c:showLegendKey val="0"/>
              <c:showVal val="1"/>
              <c:showCatName val="0"/>
              <c:showSerName val="0"/>
              <c:showPercent val="0"/>
              <c:showBubbleSize val="0"/>
            </c:dLbl>
            <c:dLbl>
              <c:idx val="1"/>
              <c:layout>
                <c:manualLayout>
                  <c:x val="0"/>
                  <c:y val="-3.425076452599389E-2"/>
                </c:manualLayout>
              </c:layout>
              <c:showLegendKey val="0"/>
              <c:showVal val="1"/>
              <c:showCatName val="0"/>
              <c:showSerName val="0"/>
              <c:showPercent val="0"/>
              <c:showBubbleSize val="0"/>
            </c:dLbl>
            <c:dLbl>
              <c:idx val="2"/>
              <c:layout>
                <c:manualLayout>
                  <c:x val="0"/>
                  <c:y val="-3.9143730886850282E-2"/>
                </c:manualLayout>
              </c:layout>
              <c:showLegendKey val="0"/>
              <c:showVal val="1"/>
              <c:showCatName val="0"/>
              <c:showSerName val="0"/>
              <c:showPercent val="0"/>
              <c:showBubbleSize val="0"/>
            </c:dLbl>
            <c:dLbl>
              <c:idx val="3"/>
              <c:layout>
                <c:manualLayout>
                  <c:x val="0"/>
                  <c:y val="-3.6697247706422291E-2"/>
                </c:manualLayout>
              </c:layout>
              <c:showLegendKey val="0"/>
              <c:showVal val="1"/>
              <c:showCatName val="0"/>
              <c:showSerName val="0"/>
              <c:showPercent val="0"/>
              <c:showBubbleSize val="0"/>
            </c:dLbl>
            <c:dLbl>
              <c:idx val="4"/>
              <c:layout>
                <c:manualLayout>
                  <c:x val="0"/>
                  <c:y val="-3.6697247706422291E-2"/>
                </c:manualLayout>
              </c:layout>
              <c:showLegendKey val="0"/>
              <c:showVal val="1"/>
              <c:showCatName val="0"/>
              <c:showSerName val="0"/>
              <c:showPercent val="0"/>
              <c:showBubbleSize val="0"/>
            </c:dLbl>
            <c:dLbl>
              <c:idx val="5"/>
              <c:layout>
                <c:manualLayout>
                  <c:x val="0"/>
                  <c:y val="-3.6697247706422291E-2"/>
                </c:manualLayout>
              </c:layout>
              <c:showLegendKey val="0"/>
              <c:showVal val="1"/>
              <c:showCatName val="0"/>
              <c:showSerName val="0"/>
              <c:showPercent val="0"/>
              <c:showBubbleSize val="0"/>
            </c:dLbl>
            <c:dLbl>
              <c:idx val="6"/>
              <c:layout>
                <c:manualLayout>
                  <c:x val="0"/>
                  <c:y val="-3.6697247706422291E-2"/>
                </c:manualLayout>
              </c:layout>
              <c:showLegendKey val="0"/>
              <c:showVal val="1"/>
              <c:showCatName val="0"/>
              <c:showSerName val="0"/>
              <c:showPercent val="0"/>
              <c:showBubbleSize val="0"/>
            </c:dLbl>
            <c:dLbl>
              <c:idx val="7"/>
              <c:layout>
                <c:manualLayout>
                  <c:x val="-1.5779092702169625E-3"/>
                  <c:y val="-3.66972477064222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Race'!$B$39:$I$39</c:f>
              <c:numCache>
                <c:formatCode>_(* #,##0_);_(* \(#,##0\);_(* "-"??_);_(@_)</c:formatCode>
                <c:ptCount val="8"/>
                <c:pt idx="0">
                  <c:v>486892</c:v>
                </c:pt>
                <c:pt idx="1">
                  <c:v>498567</c:v>
                </c:pt>
                <c:pt idx="2">
                  <c:v>508239</c:v>
                </c:pt>
                <c:pt idx="3">
                  <c:v>520507</c:v>
                </c:pt>
                <c:pt idx="4">
                  <c:v>532287</c:v>
                </c:pt>
                <c:pt idx="5">
                  <c:v>543442</c:v>
                </c:pt>
                <c:pt idx="6">
                  <c:v>581498</c:v>
                </c:pt>
                <c:pt idx="7">
                  <c:v>594718</c:v>
                </c:pt>
              </c:numCache>
            </c:numRef>
          </c:val>
        </c:ser>
        <c:ser>
          <c:idx val="5"/>
          <c:order val="5"/>
          <c:tx>
            <c:v>American Indian/Alaskan Native</c:v>
          </c:tx>
          <c:invertIfNegative val="0"/>
          <c:dLbls>
            <c:dLbl>
              <c:idx val="0"/>
              <c:layout>
                <c:manualLayout>
                  <c:x val="-4.1510955793447157E-2"/>
                  <c:y val="-3.6697118286570796E-2"/>
                </c:manualLayout>
              </c:layout>
              <c:showLegendKey val="0"/>
              <c:showVal val="1"/>
              <c:showCatName val="0"/>
              <c:showSerName val="0"/>
              <c:showPercent val="0"/>
              <c:showBubbleSize val="0"/>
            </c:dLbl>
            <c:dLbl>
              <c:idx val="1"/>
              <c:layout>
                <c:manualLayout>
                  <c:x val="-3.6291913214990319E-2"/>
                  <c:y val="-3.6697247706422291E-2"/>
                </c:manualLayout>
              </c:layout>
              <c:showLegendKey val="0"/>
              <c:showVal val="1"/>
              <c:showCatName val="0"/>
              <c:showSerName val="0"/>
              <c:showPercent val="0"/>
              <c:showBubbleSize val="0"/>
            </c:dLbl>
            <c:dLbl>
              <c:idx val="2"/>
              <c:layout>
                <c:manualLayout>
                  <c:x val="-4.5256274145507105E-2"/>
                  <c:y val="-3.6697118286570796E-2"/>
                </c:manualLayout>
              </c:layout>
              <c:showLegendKey val="0"/>
              <c:showVal val="1"/>
              <c:showCatName val="0"/>
              <c:showSerName val="0"/>
              <c:showPercent val="0"/>
              <c:showBubbleSize val="0"/>
            </c:dLbl>
            <c:dLbl>
              <c:idx val="3"/>
              <c:layout>
                <c:manualLayout>
                  <c:x val="-4.2794095962723801E-2"/>
                  <c:y val="-3.4250679905321851E-2"/>
                </c:manualLayout>
              </c:layout>
              <c:showLegendKey val="0"/>
              <c:showVal val="1"/>
              <c:showCatName val="0"/>
              <c:showSerName val="0"/>
              <c:showPercent val="0"/>
              <c:showBubbleSize val="0"/>
            </c:dLbl>
            <c:dLbl>
              <c:idx val="4"/>
              <c:layout>
                <c:manualLayout>
                  <c:x val="-3.5598218761980605E-2"/>
                  <c:y val="-3.4250679905321851E-2"/>
                </c:manualLayout>
              </c:layout>
              <c:showLegendKey val="0"/>
              <c:showVal val="1"/>
              <c:showCatName val="0"/>
              <c:showSerName val="0"/>
              <c:showPercent val="0"/>
              <c:showBubbleSize val="0"/>
            </c:dLbl>
            <c:dLbl>
              <c:idx val="5"/>
              <c:layout>
                <c:manualLayout>
                  <c:x val="-4.5256274145507105E-2"/>
                  <c:y val="-3.6697118286570796E-2"/>
                </c:manualLayout>
              </c:layout>
              <c:showLegendKey val="0"/>
              <c:showVal val="1"/>
              <c:showCatName val="0"/>
              <c:showSerName val="0"/>
              <c:showPercent val="0"/>
              <c:showBubbleSize val="0"/>
            </c:dLbl>
            <c:dLbl>
              <c:idx val="6"/>
              <c:layout>
                <c:manualLayout>
                  <c:x val="-5.6941814857412489E-2"/>
                  <c:y val="-3.6697118286570761E-2"/>
                </c:manualLayout>
              </c:layout>
              <c:showLegendKey val="0"/>
              <c:showVal val="1"/>
              <c:showCatName val="0"/>
              <c:showSerName val="0"/>
              <c:showPercent val="0"/>
              <c:showBubbleSize val="0"/>
            </c:dLbl>
            <c:dLbl>
              <c:idx val="7"/>
              <c:layout>
                <c:manualLayout>
                  <c:x val="-5.0874251673596979E-2"/>
                  <c:y val="-3.42506799053219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Race'!$B$37:$I$37</c:f>
              <c:numCache>
                <c:formatCode>_(* #,##0_);_(* \(#,##0\);_(* "-"??_);_(@_)</c:formatCode>
                <c:ptCount val="8"/>
                <c:pt idx="0">
                  <c:v>2558</c:v>
                </c:pt>
                <c:pt idx="1">
                  <c:v>2564</c:v>
                </c:pt>
                <c:pt idx="2">
                  <c:v>2560</c:v>
                </c:pt>
                <c:pt idx="3">
                  <c:v>2542</c:v>
                </c:pt>
                <c:pt idx="4">
                  <c:v>2530</c:v>
                </c:pt>
                <c:pt idx="5">
                  <c:v>2523</c:v>
                </c:pt>
                <c:pt idx="6">
                  <c:v>2490</c:v>
                </c:pt>
                <c:pt idx="7">
                  <c:v>2593</c:v>
                </c:pt>
              </c:numCache>
            </c:numRef>
          </c:val>
        </c:ser>
        <c:ser>
          <c:idx val="6"/>
          <c:order val="6"/>
          <c:tx>
            <c:v>Other/2 or More</c:v>
          </c:tx>
          <c:invertIfNegative val="0"/>
          <c:dLbls>
            <c:dLbl>
              <c:idx val="0"/>
              <c:layout>
                <c:manualLayout>
                  <c:x val="9.1012503350263747E-3"/>
                  <c:y val="-3.9143730886850282E-2"/>
                </c:manualLayout>
              </c:layout>
              <c:showLegendKey val="0"/>
              <c:showVal val="1"/>
              <c:showCatName val="0"/>
              <c:showSerName val="0"/>
              <c:showPercent val="0"/>
              <c:showBubbleSize val="0"/>
            </c:dLbl>
            <c:dLbl>
              <c:idx val="1"/>
              <c:layout>
                <c:manualLayout>
                  <c:x val="6.0675002233510052E-3"/>
                  <c:y val="-3.6697247706422291E-2"/>
                </c:manualLayout>
              </c:layout>
              <c:showLegendKey val="0"/>
              <c:showVal val="1"/>
              <c:showCatName val="0"/>
              <c:showSerName val="0"/>
              <c:showPercent val="0"/>
              <c:showBubbleSize val="0"/>
            </c:dLbl>
            <c:dLbl>
              <c:idx val="2"/>
              <c:layout>
                <c:manualLayout>
                  <c:x val="9.1012503350263747E-3"/>
                  <c:y val="-3.6697247706422291E-2"/>
                </c:manualLayout>
              </c:layout>
              <c:showLegendKey val="0"/>
              <c:showVal val="1"/>
              <c:showCatName val="0"/>
              <c:showSerName val="0"/>
              <c:showPercent val="0"/>
              <c:showBubbleSize val="0"/>
            </c:dLbl>
            <c:dLbl>
              <c:idx val="3"/>
              <c:layout>
                <c:manualLayout>
                  <c:x val="9.1012503350264527E-3"/>
                  <c:y val="-3.1804281345565746E-2"/>
                </c:manualLayout>
              </c:layout>
              <c:showLegendKey val="0"/>
              <c:showVal val="1"/>
              <c:showCatName val="0"/>
              <c:showSerName val="0"/>
              <c:showPercent val="0"/>
              <c:showBubbleSize val="0"/>
            </c:dLbl>
            <c:dLbl>
              <c:idx val="4"/>
              <c:layout>
                <c:manualLayout>
                  <c:x val="9.1012503350264527E-3"/>
                  <c:y val="-3.6697247706422291E-2"/>
                </c:manualLayout>
              </c:layout>
              <c:showLegendKey val="0"/>
              <c:showVal val="1"/>
              <c:showCatName val="0"/>
              <c:showSerName val="0"/>
              <c:showPercent val="0"/>
              <c:showBubbleSize val="0"/>
            </c:dLbl>
            <c:dLbl>
              <c:idx val="5"/>
              <c:layout>
                <c:manualLayout>
                  <c:x val="9.1012503350263747E-3"/>
                  <c:y val="-3.6697247706422291E-2"/>
                </c:manualLayout>
              </c:layout>
              <c:showLegendKey val="0"/>
              <c:showVal val="1"/>
              <c:showCatName val="0"/>
              <c:showSerName val="0"/>
              <c:showPercent val="0"/>
              <c:showBubbleSize val="0"/>
            </c:dLbl>
            <c:dLbl>
              <c:idx val="6"/>
              <c:layout>
                <c:manualLayout>
                  <c:x val="4.5506251675132914E-3"/>
                  <c:y val="-3.6697247706422291E-2"/>
                </c:manualLayout>
              </c:layout>
              <c:showLegendKey val="0"/>
              <c:showVal val="1"/>
              <c:showCatName val="0"/>
              <c:showSerName val="0"/>
              <c:showPercent val="0"/>
              <c:showBubbleSize val="0"/>
            </c:dLbl>
            <c:dLbl>
              <c:idx val="7"/>
              <c:layout>
                <c:manualLayout>
                  <c:x val="9.4674556213018048E-3"/>
                  <c:y val="-3.66972477064222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'Crafton Hills - Pop. by Race'!$B$32:$I$32</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Race'!$B$36:$I$36</c:f>
              <c:numCache>
                <c:formatCode>_(* #,##0_);_(* \(#,##0\);_(* "-"??_);_(@_)</c:formatCode>
                <c:ptCount val="8"/>
                <c:pt idx="0">
                  <c:v>16266</c:v>
                </c:pt>
                <c:pt idx="1">
                  <c:v>16694</c:v>
                </c:pt>
                <c:pt idx="2">
                  <c:v>17070</c:v>
                </c:pt>
                <c:pt idx="3">
                  <c:v>17524</c:v>
                </c:pt>
                <c:pt idx="4">
                  <c:v>17961</c:v>
                </c:pt>
                <c:pt idx="5">
                  <c:v>18378</c:v>
                </c:pt>
                <c:pt idx="6">
                  <c:v>19813</c:v>
                </c:pt>
                <c:pt idx="7">
                  <c:v>20295</c:v>
                </c:pt>
              </c:numCache>
            </c:numRef>
          </c:val>
        </c:ser>
        <c:dLbls>
          <c:showLegendKey val="0"/>
          <c:showVal val="0"/>
          <c:showCatName val="0"/>
          <c:showSerName val="0"/>
          <c:showPercent val="0"/>
          <c:showBubbleSize val="0"/>
        </c:dLbls>
        <c:gapWidth val="150"/>
        <c:overlap val="100"/>
        <c:axId val="268933632"/>
        <c:axId val="184576256"/>
      </c:barChart>
      <c:catAx>
        <c:axId val="268933632"/>
        <c:scaling>
          <c:orientation val="minMax"/>
        </c:scaling>
        <c:delete val="0"/>
        <c:axPos val="l"/>
        <c:numFmt formatCode="General" sourceLinked="1"/>
        <c:majorTickMark val="out"/>
        <c:minorTickMark val="none"/>
        <c:tickLblPos val="nextTo"/>
        <c:crossAx val="184576256"/>
        <c:crosses val="autoZero"/>
        <c:auto val="1"/>
        <c:lblAlgn val="ctr"/>
        <c:lblOffset val="100"/>
        <c:noMultiLvlLbl val="0"/>
      </c:catAx>
      <c:valAx>
        <c:axId val="184576256"/>
        <c:scaling>
          <c:orientation val="minMax"/>
        </c:scaling>
        <c:delete val="0"/>
        <c:axPos val="b"/>
        <c:majorGridlines>
          <c:spPr>
            <a:ln>
              <a:solidFill>
                <a:srgbClr val="4F81BD">
                  <a:alpha val="0"/>
                </a:srgbClr>
              </a:solidFill>
            </a:ln>
          </c:spPr>
        </c:majorGridlines>
        <c:numFmt formatCode="0%" sourceLinked="1"/>
        <c:majorTickMark val="out"/>
        <c:minorTickMark val="none"/>
        <c:tickLblPos val="nextTo"/>
        <c:crossAx val="268933632"/>
        <c:crosses val="autoZero"/>
        <c:crossBetween val="between"/>
      </c:valAx>
    </c:plotArea>
    <c:legend>
      <c:legendPos val="r"/>
      <c:layout>
        <c:manualLayout>
          <c:xMode val="edge"/>
          <c:yMode val="edge"/>
          <c:x val="1.4330540413217583E-2"/>
          <c:y val="1.5791474341569425E-3"/>
          <c:w val="0.96789016757520718"/>
          <c:h val="0.1443360665188169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13915635912114E-2"/>
          <c:y val="7.8978708784439286E-2"/>
          <c:w val="0.89367764513306802"/>
          <c:h val="0.8314249949661997"/>
        </c:manualLayout>
      </c:layout>
      <c:barChart>
        <c:barDir val="bar"/>
        <c:grouping val="percentStacked"/>
        <c:varyColors val="0"/>
        <c:ser>
          <c:idx val="0"/>
          <c:order val="0"/>
          <c:tx>
            <c:strRef>
              <c:f>Ethnicity!$A$83</c:f>
              <c:strCache>
                <c:ptCount val="1"/>
                <c:pt idx="0">
                  <c:v>African American</c:v>
                </c:pt>
              </c:strCache>
            </c:strRef>
          </c:tx>
          <c:invertIfNegative val="0"/>
          <c:dLbls>
            <c:dLbl>
              <c:idx val="0"/>
              <c:layout>
                <c:manualLayout>
                  <c:x val="2.6067122841316407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6067122841316407E-3"/>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9100684261974585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3033561420658201E-3"/>
                  <c:y val="-5.364721718842183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Ethnicity!$B$83:$F$83</c:f>
              <c:numCache>
                <c:formatCode>#,##0</c:formatCode>
                <c:ptCount val="5"/>
                <c:pt idx="0">
                  <c:v>382</c:v>
                </c:pt>
                <c:pt idx="1">
                  <c:v>331</c:v>
                </c:pt>
                <c:pt idx="2">
                  <c:v>291</c:v>
                </c:pt>
                <c:pt idx="3">
                  <c:v>349</c:v>
                </c:pt>
                <c:pt idx="4">
                  <c:v>387</c:v>
                </c:pt>
              </c:numCache>
            </c:numRef>
          </c:val>
        </c:ser>
        <c:ser>
          <c:idx val="1"/>
          <c:order val="1"/>
          <c:tx>
            <c:strRef>
              <c:f>Ethnicity!$A$84</c:f>
              <c:strCache>
                <c:ptCount val="1"/>
                <c:pt idx="0">
                  <c:v>Asian</c:v>
                </c:pt>
              </c:strCache>
            </c:strRef>
          </c:tx>
          <c:invertIfNegative val="0"/>
          <c:dLbls>
            <c:dLbl>
              <c:idx val="0"/>
              <c:layout>
                <c:manualLayout>
                  <c:x val="-2.6067122841316407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3033561420658201E-3"/>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3.9100684261974585E-3"/>
                  <c:y val="-5.007047320539739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Ethnicity!$B$84:$F$84</c:f>
              <c:numCache>
                <c:formatCode>#,##0</c:formatCode>
                <c:ptCount val="5"/>
                <c:pt idx="0">
                  <c:v>509</c:v>
                </c:pt>
                <c:pt idx="1">
                  <c:v>492</c:v>
                </c:pt>
                <c:pt idx="2">
                  <c:v>400</c:v>
                </c:pt>
                <c:pt idx="3">
                  <c:v>412</c:v>
                </c:pt>
                <c:pt idx="4">
                  <c:v>454</c:v>
                </c:pt>
              </c:numCache>
            </c:numRef>
          </c:val>
        </c:ser>
        <c:ser>
          <c:idx val="2"/>
          <c:order val="2"/>
          <c:tx>
            <c:strRef>
              <c:f>Ethnicity!$A$85</c:f>
              <c:strCache>
                <c:ptCount val="1"/>
                <c:pt idx="0">
                  <c:v>Hispanic</c:v>
                </c:pt>
              </c:strCache>
            </c:strRef>
          </c:tx>
          <c:invertIfNegative val="0"/>
          <c:dLbls>
            <c:dLbl>
              <c:idx val="0"/>
              <c:layout>
                <c:manualLayout>
                  <c:x val="2.6067122841316407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7789173144474039E-17"/>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6067122841315947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6067122841316407E-3"/>
                  <c:y val="-5.007047320539739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3033561420658201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Ethnicity!$B$85:$F$85</c:f>
              <c:numCache>
                <c:formatCode>#,##0</c:formatCode>
                <c:ptCount val="5"/>
                <c:pt idx="0">
                  <c:v>2925</c:v>
                </c:pt>
                <c:pt idx="1">
                  <c:v>2811</c:v>
                </c:pt>
                <c:pt idx="2">
                  <c:v>2835</c:v>
                </c:pt>
                <c:pt idx="3">
                  <c:v>3173</c:v>
                </c:pt>
                <c:pt idx="4">
                  <c:v>3537</c:v>
                </c:pt>
              </c:numCache>
            </c:numRef>
          </c:val>
        </c:ser>
        <c:ser>
          <c:idx val="3"/>
          <c:order val="3"/>
          <c:tx>
            <c:strRef>
              <c:f>Ethnicity!$A$86</c:f>
              <c:strCache>
                <c:ptCount val="1"/>
                <c:pt idx="0">
                  <c:v>Native American</c:v>
                </c:pt>
              </c:strCache>
            </c:strRef>
          </c:tx>
          <c:invertIfNegative val="0"/>
          <c:dLbls>
            <c:dLbl>
              <c:idx val="0"/>
              <c:layout>
                <c:manualLayout>
                  <c:x val="-7.8201368523949169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3033561420658204E-2"/>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9.1235956209286262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0426849136526561E-2"/>
                  <c:y val="-7.15292474362819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7.8201368523949169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Ethnicity!$B$86:$F$86</c:f>
              <c:numCache>
                <c:formatCode>#,##0</c:formatCode>
                <c:ptCount val="5"/>
                <c:pt idx="0">
                  <c:v>57</c:v>
                </c:pt>
                <c:pt idx="1">
                  <c:v>40</c:v>
                </c:pt>
                <c:pt idx="2">
                  <c:v>27</c:v>
                </c:pt>
                <c:pt idx="3">
                  <c:v>21</c:v>
                </c:pt>
                <c:pt idx="4">
                  <c:v>35</c:v>
                </c:pt>
              </c:numCache>
            </c:numRef>
          </c:val>
        </c:ser>
        <c:ser>
          <c:idx val="4"/>
          <c:order val="4"/>
          <c:tx>
            <c:strRef>
              <c:f>Ethnicity!$A$87</c:f>
              <c:strCache>
                <c:ptCount val="1"/>
                <c:pt idx="0">
                  <c:v>Pacific Islander</c:v>
                </c:pt>
              </c:strCache>
            </c:strRef>
          </c:tx>
          <c:invertIfNegative val="0"/>
          <c:dLbls>
            <c:dLbl>
              <c:idx val="0"/>
              <c:layout>
                <c:manualLayout>
                  <c:x val="1.1730205278592384E-2"/>
                  <c:y val="-6.07998603208396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8201368523949169E-3"/>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8201368523949169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1234929944607485E-3"/>
                  <c:y val="-7.15292474362819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1730205278592384E-2"/>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Ethnicity!$B$87:$F$87</c:f>
              <c:numCache>
                <c:formatCode>#,##0</c:formatCode>
                <c:ptCount val="5"/>
                <c:pt idx="0">
                  <c:v>24</c:v>
                </c:pt>
                <c:pt idx="1">
                  <c:v>19</c:v>
                </c:pt>
                <c:pt idx="2">
                  <c:v>19</c:v>
                </c:pt>
                <c:pt idx="3">
                  <c:v>16</c:v>
                </c:pt>
                <c:pt idx="4">
                  <c:v>28</c:v>
                </c:pt>
              </c:numCache>
            </c:numRef>
          </c:val>
        </c:ser>
        <c:ser>
          <c:idx val="5"/>
          <c:order val="5"/>
          <c:tx>
            <c:strRef>
              <c:f>Ethnicity!$A$88</c:f>
              <c:strCache>
                <c:ptCount val="1"/>
                <c:pt idx="0">
                  <c:v>Caucasian</c:v>
                </c:pt>
              </c:strCache>
            </c:strRef>
          </c:tx>
          <c:invertIfNegative val="0"/>
          <c:dLbls>
            <c:dLbl>
              <c:idx val="0"/>
              <c:layout>
                <c:manualLayout>
                  <c:x val="2.6067122841316407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9100684261975539E-3"/>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6067122841316407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15292474362819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3033561420657249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Ethnicity!$B$88:$F$88</c:f>
              <c:numCache>
                <c:formatCode>#,##0</c:formatCode>
                <c:ptCount val="5"/>
                <c:pt idx="0">
                  <c:v>4369</c:v>
                </c:pt>
                <c:pt idx="1">
                  <c:v>3603</c:v>
                </c:pt>
                <c:pt idx="2">
                  <c:v>3151</c:v>
                </c:pt>
                <c:pt idx="3">
                  <c:v>3159</c:v>
                </c:pt>
                <c:pt idx="4">
                  <c:v>3164</c:v>
                </c:pt>
              </c:numCache>
            </c:numRef>
          </c:val>
        </c:ser>
        <c:ser>
          <c:idx val="6"/>
          <c:order val="6"/>
          <c:tx>
            <c:strRef>
              <c:f>Ethnicity!$A$89</c:f>
              <c:strCache>
                <c:ptCount val="1"/>
                <c:pt idx="0">
                  <c:v>Two or More Races</c:v>
                </c:pt>
              </c:strCache>
            </c:strRef>
          </c:tx>
          <c:invertIfNegative val="0"/>
          <c:dLbls>
            <c:dLbl>
              <c:idx val="0"/>
              <c:layout>
                <c:manualLayout>
                  <c:x val="-3.9100684261974585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5167807103290974E-3"/>
                  <c:y val="-6.07998603208397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2134245682634688E-3"/>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5167807103292917E-3"/>
                  <c:y val="-7.15292474362819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4336917562723999E-2"/>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Ethnicity!$B$89:$F$89</c:f>
              <c:numCache>
                <c:formatCode>#,##0</c:formatCode>
                <c:ptCount val="5"/>
                <c:pt idx="0">
                  <c:v>299</c:v>
                </c:pt>
                <c:pt idx="1">
                  <c:v>284</c:v>
                </c:pt>
                <c:pt idx="2">
                  <c:v>287</c:v>
                </c:pt>
                <c:pt idx="3">
                  <c:v>342</c:v>
                </c:pt>
                <c:pt idx="4">
                  <c:v>370</c:v>
                </c:pt>
              </c:numCache>
            </c:numRef>
          </c:val>
        </c:ser>
        <c:ser>
          <c:idx val="7"/>
          <c:order val="7"/>
          <c:tx>
            <c:strRef>
              <c:f>Ethnicity!$A$90</c:f>
              <c:strCache>
                <c:ptCount val="1"/>
                <c:pt idx="0">
                  <c:v>Unknown</c:v>
                </c:pt>
              </c:strCache>
            </c:strRef>
          </c:tx>
          <c:invertIfNegative val="0"/>
          <c:dLbls>
            <c:dLbl>
              <c:idx val="0"/>
              <c:layout>
                <c:manualLayout>
                  <c:x val="3.9100684261974585E-3"/>
                  <c:y val="-6.07998603208396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43763226926538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79527850644678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3.9100684261974585E-3"/>
                  <c:y val="-7.15292474362819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9099657997295791E-3"/>
                  <c:y val="-5.7223397949025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Ethnicity!$B$82:$F$82</c:f>
              <c:strCache>
                <c:ptCount val="5"/>
                <c:pt idx="0">
                  <c:v>2010-2011</c:v>
                </c:pt>
                <c:pt idx="1">
                  <c:v>2011-2012</c:v>
                </c:pt>
                <c:pt idx="2">
                  <c:v>2012-2013</c:v>
                </c:pt>
                <c:pt idx="3">
                  <c:v>2013-2014</c:v>
                </c:pt>
                <c:pt idx="4">
                  <c:v>2014-2015</c:v>
                </c:pt>
              </c:strCache>
            </c:strRef>
          </c:cat>
          <c:val>
            <c:numRef>
              <c:f>Ethnicity!$B$90:$F$90</c:f>
              <c:numCache>
                <c:formatCode>#,##0</c:formatCode>
                <c:ptCount val="5"/>
                <c:pt idx="0">
                  <c:v>143</c:v>
                </c:pt>
                <c:pt idx="1">
                  <c:v>94</c:v>
                </c:pt>
                <c:pt idx="2">
                  <c:v>86</c:v>
                </c:pt>
                <c:pt idx="3">
                  <c:v>56</c:v>
                </c:pt>
                <c:pt idx="4">
                  <c:v>65</c:v>
                </c:pt>
              </c:numCache>
            </c:numRef>
          </c:val>
        </c:ser>
        <c:dLbls>
          <c:showLegendKey val="0"/>
          <c:showVal val="1"/>
          <c:showCatName val="0"/>
          <c:showSerName val="0"/>
          <c:showPercent val="0"/>
          <c:showBubbleSize val="0"/>
        </c:dLbls>
        <c:gapWidth val="150"/>
        <c:overlap val="100"/>
        <c:axId val="236521472"/>
        <c:axId val="268072000"/>
      </c:barChart>
      <c:catAx>
        <c:axId val="236521472"/>
        <c:scaling>
          <c:orientation val="minMax"/>
        </c:scaling>
        <c:delete val="0"/>
        <c:axPos val="l"/>
        <c:majorGridlines/>
        <c:numFmt formatCode="General" sourceLinked="0"/>
        <c:majorTickMark val="out"/>
        <c:minorTickMark val="none"/>
        <c:tickLblPos val="nextTo"/>
        <c:crossAx val="268072000"/>
        <c:crosses val="autoZero"/>
        <c:auto val="1"/>
        <c:lblAlgn val="ctr"/>
        <c:lblOffset val="100"/>
        <c:noMultiLvlLbl val="0"/>
      </c:catAx>
      <c:valAx>
        <c:axId val="268072000"/>
        <c:scaling>
          <c:orientation val="minMax"/>
        </c:scaling>
        <c:delete val="0"/>
        <c:axPos val="b"/>
        <c:numFmt formatCode="0%" sourceLinked="1"/>
        <c:majorTickMark val="out"/>
        <c:minorTickMark val="none"/>
        <c:tickLblPos val="nextTo"/>
        <c:crossAx val="236521472"/>
        <c:crosses val="autoZero"/>
        <c:crossBetween val="between"/>
      </c:valAx>
      <c:spPr>
        <a:ln>
          <a:noFill/>
        </a:ln>
      </c:spPr>
    </c:plotArea>
    <c:legend>
      <c:legendPos val="t"/>
      <c:layout>
        <c:manualLayout>
          <c:xMode val="edge"/>
          <c:yMode val="edge"/>
          <c:x val="0"/>
          <c:y val="2.9322650458166407E-3"/>
          <c:w val="0.9908608334070601"/>
          <c:h val="6.4672859297182889E-2"/>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54412213521213E-2"/>
          <c:y val="0.14590857960936701"/>
          <c:w val="0.8771051771743309"/>
          <c:h val="0.78464846439649616"/>
        </c:manualLayout>
      </c:layout>
      <c:barChart>
        <c:barDir val="bar"/>
        <c:grouping val="percentStacked"/>
        <c:varyColors val="0"/>
        <c:ser>
          <c:idx val="0"/>
          <c:order val="0"/>
          <c:tx>
            <c:v>White</c:v>
          </c:tx>
          <c:invertIfNegative val="0"/>
          <c:dLbls>
            <c:dLbl>
              <c:idx val="0"/>
              <c:layout>
                <c:manualLayout>
                  <c:x val="-4.2820228866740521E-2"/>
                  <c:y val="-3.6968576709796676E-2"/>
                </c:manualLayout>
              </c:layout>
              <c:showLegendKey val="0"/>
              <c:showVal val="1"/>
              <c:showCatName val="0"/>
              <c:showSerName val="0"/>
              <c:showPercent val="0"/>
              <c:showBubbleSize val="0"/>
            </c:dLbl>
            <c:dLbl>
              <c:idx val="1"/>
              <c:layout>
                <c:manualLayout>
                  <c:x val="-4.1343669250646177E-2"/>
                  <c:y val="-3.4504004929143559E-2"/>
                </c:manualLayout>
              </c:layout>
              <c:showLegendKey val="0"/>
              <c:showVal val="1"/>
              <c:showCatName val="0"/>
              <c:showSerName val="0"/>
              <c:showPercent val="0"/>
              <c:showBubbleSize val="0"/>
            </c:dLbl>
            <c:dLbl>
              <c:idx val="2"/>
              <c:layout>
                <c:manualLayout>
                  <c:x val="-4.1343669250646177E-2"/>
                  <c:y val="-3.9433148490450043E-2"/>
                </c:manualLayout>
              </c:layout>
              <c:showLegendKey val="0"/>
              <c:showVal val="1"/>
              <c:showCatName val="0"/>
              <c:showSerName val="0"/>
              <c:showPercent val="0"/>
              <c:showBubbleSize val="0"/>
            </c:dLbl>
            <c:dLbl>
              <c:idx val="3"/>
              <c:layout>
                <c:manualLayout>
                  <c:x val="-3.6913990402362616E-2"/>
                  <c:y val="-3.6968576709796676E-2"/>
                </c:manualLayout>
              </c:layout>
              <c:showLegendKey val="0"/>
              <c:showVal val="1"/>
              <c:showCatName val="0"/>
              <c:showSerName val="0"/>
              <c:showPercent val="0"/>
              <c:showBubbleSize val="0"/>
            </c:dLbl>
            <c:dLbl>
              <c:idx val="4"/>
              <c:layout>
                <c:manualLayout>
                  <c:x val="-3.9867109634551492E-2"/>
                  <c:y val="-3.943314849044996E-2"/>
                </c:manualLayout>
              </c:layout>
              <c:showLegendKey val="0"/>
              <c:showVal val="1"/>
              <c:showCatName val="0"/>
              <c:showSerName val="0"/>
              <c:showPercent val="0"/>
              <c:showBubbleSize val="0"/>
            </c:dLbl>
            <c:dLbl>
              <c:idx val="5"/>
              <c:layout>
                <c:manualLayout>
                  <c:x val="-3.6913990402362616E-2"/>
                  <c:y val="-4.1897720271102903E-2"/>
                </c:manualLayout>
              </c:layout>
              <c:showLegendKey val="0"/>
              <c:showVal val="1"/>
              <c:showCatName val="0"/>
              <c:showSerName val="0"/>
              <c:showPercent val="0"/>
              <c:showBubbleSize val="0"/>
            </c:dLbl>
            <c:dLbl>
              <c:idx val="6"/>
              <c:layout>
                <c:manualLayout>
                  <c:x val="-3.1007751937984489E-2"/>
                  <c:y val="-3.943314849044996E-2"/>
                </c:manualLayout>
              </c:layout>
              <c:showLegendKey val="0"/>
              <c:showVal val="1"/>
              <c:showCatName val="0"/>
              <c:showSerName val="0"/>
              <c:showPercent val="0"/>
              <c:showBubbleSize val="0"/>
            </c:dLbl>
            <c:dLbl>
              <c:idx val="7"/>
              <c:layout>
                <c:manualLayout>
                  <c:x val="-2.6578073089701084E-2"/>
                  <c:y val="-3.6968576709796648E-2"/>
                </c:manualLayout>
              </c:layout>
              <c:showLegendKey val="0"/>
              <c:showVal val="1"/>
              <c:showCatName val="0"/>
              <c:showSerName val="0"/>
              <c:showPercent val="0"/>
              <c:showBubbleSize val="0"/>
            </c:dLbl>
            <c:txPr>
              <a:bodyPr/>
              <a:lstStyle/>
              <a:p>
                <a:pPr>
                  <a:defRPr>
                    <a:solidFill>
                      <a:schemeClr val="accent1">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Race'!$B$15:$I$15</c:f>
              <c:numCache>
                <c:formatCode>_(* #,##0_);_(* \(#,##0\);_(* "-"??_);_(@_)</c:formatCode>
                <c:ptCount val="8"/>
                <c:pt idx="0">
                  <c:v>1555750</c:v>
                </c:pt>
                <c:pt idx="1">
                  <c:v>1549465</c:v>
                </c:pt>
                <c:pt idx="2">
                  <c:v>1541297</c:v>
                </c:pt>
                <c:pt idx="3">
                  <c:v>1532396</c:v>
                </c:pt>
                <c:pt idx="4">
                  <c:v>1525363</c:v>
                </c:pt>
                <c:pt idx="5">
                  <c:v>1521020</c:v>
                </c:pt>
                <c:pt idx="6">
                  <c:v>1499778</c:v>
                </c:pt>
                <c:pt idx="7">
                  <c:v>1463684</c:v>
                </c:pt>
              </c:numCache>
            </c:numRef>
          </c:val>
        </c:ser>
        <c:ser>
          <c:idx val="1"/>
          <c:order val="1"/>
          <c:tx>
            <c:v>Black/African American</c:v>
          </c:tx>
          <c:invertIfNegative val="0"/>
          <c:dLbls>
            <c:dLbl>
              <c:idx val="0"/>
              <c:layout>
                <c:manualLayout>
                  <c:x val="-4.4296788482834998E-2"/>
                  <c:y val="-3.6968576709796676E-2"/>
                </c:manualLayout>
              </c:layout>
              <c:showLegendKey val="0"/>
              <c:showVal val="1"/>
              <c:showCatName val="0"/>
              <c:showSerName val="0"/>
              <c:showPercent val="0"/>
              <c:showBubbleSize val="0"/>
            </c:dLbl>
            <c:dLbl>
              <c:idx val="1"/>
              <c:layout>
                <c:manualLayout>
                  <c:x val="-3.8390550018456995E-2"/>
                  <c:y val="-3.943314849044996E-2"/>
                </c:manualLayout>
              </c:layout>
              <c:showLegendKey val="0"/>
              <c:showVal val="1"/>
              <c:showCatName val="0"/>
              <c:showSerName val="0"/>
              <c:showPercent val="0"/>
              <c:showBubbleSize val="0"/>
            </c:dLbl>
            <c:dLbl>
              <c:idx val="2"/>
              <c:layout>
                <c:manualLayout>
                  <c:x val="-4.4296788482834998E-2"/>
                  <c:y val="-3.6968576709796766E-2"/>
                </c:manualLayout>
              </c:layout>
              <c:showLegendKey val="0"/>
              <c:showVal val="1"/>
              <c:showCatName val="0"/>
              <c:showSerName val="0"/>
              <c:showPercent val="0"/>
              <c:showBubbleSize val="0"/>
            </c:dLbl>
            <c:dLbl>
              <c:idx val="3"/>
              <c:layout>
                <c:manualLayout>
                  <c:x val="-3.9867109634551492E-2"/>
                  <c:y val="-3.6968576709796676E-2"/>
                </c:manualLayout>
              </c:layout>
              <c:showLegendKey val="0"/>
              <c:showVal val="1"/>
              <c:showCatName val="0"/>
              <c:showSerName val="0"/>
              <c:showPercent val="0"/>
              <c:showBubbleSize val="0"/>
            </c:dLbl>
            <c:dLbl>
              <c:idx val="4"/>
              <c:layout>
                <c:manualLayout>
                  <c:x val="-4.8726467331118732E-2"/>
                  <c:y val="-3.6968576709796676E-2"/>
                </c:manualLayout>
              </c:layout>
              <c:showLegendKey val="0"/>
              <c:showVal val="1"/>
              <c:showCatName val="0"/>
              <c:showSerName val="0"/>
              <c:showPercent val="0"/>
              <c:showBubbleSize val="0"/>
            </c:dLbl>
            <c:dLbl>
              <c:idx val="5"/>
              <c:layout>
                <c:manualLayout>
                  <c:x val="-4.1343669250646177E-2"/>
                  <c:y val="-3.6968576709796676E-2"/>
                </c:manualLayout>
              </c:layout>
              <c:showLegendKey val="0"/>
              <c:showVal val="1"/>
              <c:showCatName val="0"/>
              <c:showSerName val="0"/>
              <c:showPercent val="0"/>
              <c:showBubbleSize val="0"/>
            </c:dLbl>
            <c:dLbl>
              <c:idx val="6"/>
              <c:layout>
                <c:manualLayout>
                  <c:x val="-4.2820228866740521E-2"/>
                  <c:y val="-3.943314849044996E-2"/>
                </c:manualLayout>
              </c:layout>
              <c:showLegendKey val="0"/>
              <c:showVal val="1"/>
              <c:showCatName val="0"/>
              <c:showSerName val="0"/>
              <c:showPercent val="0"/>
              <c:showBubbleSize val="0"/>
            </c:dLbl>
            <c:dLbl>
              <c:idx val="7"/>
              <c:layout>
                <c:manualLayout>
                  <c:x val="-4.7249907715023985E-2"/>
                  <c:y val="-3.9433148490449932E-2"/>
                </c:manualLayout>
              </c:layout>
              <c:showLegendKey val="0"/>
              <c:showVal val="1"/>
              <c:showCatName val="0"/>
              <c:showSerName val="0"/>
              <c:showPercent val="0"/>
              <c:showBubbleSize val="0"/>
            </c:dLbl>
            <c:txPr>
              <a:bodyPr/>
              <a:lstStyle/>
              <a:p>
                <a:pPr>
                  <a:defRPr>
                    <a:solidFill>
                      <a:schemeClr val="accent2">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Race'!$B$16:$I$16</c:f>
              <c:numCache>
                <c:formatCode>_(* #,##0_);_(* \(#,##0\);_(* "-"??_);_(@_)</c:formatCode>
                <c:ptCount val="8"/>
                <c:pt idx="0">
                  <c:v>305278</c:v>
                </c:pt>
                <c:pt idx="1">
                  <c:v>308583</c:v>
                </c:pt>
                <c:pt idx="2">
                  <c:v>311176</c:v>
                </c:pt>
                <c:pt idx="3">
                  <c:v>314671</c:v>
                </c:pt>
                <c:pt idx="4">
                  <c:v>318175</c:v>
                </c:pt>
                <c:pt idx="5">
                  <c:v>321815</c:v>
                </c:pt>
                <c:pt idx="6">
                  <c:v>333029</c:v>
                </c:pt>
                <c:pt idx="7">
                  <c:v>333696</c:v>
                </c:pt>
              </c:numCache>
            </c:numRef>
          </c:val>
        </c:ser>
        <c:ser>
          <c:idx val="2"/>
          <c:order val="2"/>
          <c:tx>
            <c:v>Asian</c:v>
          </c:tx>
          <c:invertIfNegative val="0"/>
          <c:dLbls>
            <c:dLbl>
              <c:idx val="0"/>
              <c:layout>
                <c:manualLayout>
                  <c:x val="-2.0671834625323186E-2"/>
                  <c:y val="-3.6968576709796676E-2"/>
                </c:manualLayout>
              </c:layout>
              <c:showLegendKey val="0"/>
              <c:showVal val="1"/>
              <c:showCatName val="0"/>
              <c:showSerName val="0"/>
              <c:showPercent val="0"/>
              <c:showBubbleSize val="0"/>
            </c:dLbl>
            <c:dLbl>
              <c:idx val="1"/>
              <c:layout>
                <c:manualLayout>
                  <c:x val="-2.0671834625323186E-2"/>
                  <c:y val="-3.943314849044996E-2"/>
                </c:manualLayout>
              </c:layout>
              <c:showLegendKey val="0"/>
              <c:showVal val="1"/>
              <c:showCatName val="0"/>
              <c:showSerName val="0"/>
              <c:showPercent val="0"/>
              <c:showBubbleSize val="0"/>
            </c:dLbl>
            <c:dLbl>
              <c:idx val="2"/>
              <c:layout>
                <c:manualLayout>
                  <c:x val="-2.5101513473606524E-2"/>
                  <c:y val="-3.6968576709796766E-2"/>
                </c:manualLayout>
              </c:layout>
              <c:showLegendKey val="0"/>
              <c:showVal val="1"/>
              <c:showCatName val="0"/>
              <c:showSerName val="0"/>
              <c:showPercent val="0"/>
              <c:showBubbleSize val="0"/>
            </c:dLbl>
            <c:dLbl>
              <c:idx val="3"/>
              <c:layout>
                <c:manualLayout>
                  <c:x val="-2.2148394241417478E-2"/>
                  <c:y val="-3.943314849044996E-2"/>
                </c:manualLayout>
              </c:layout>
              <c:showLegendKey val="0"/>
              <c:showVal val="1"/>
              <c:showCatName val="0"/>
              <c:showSerName val="0"/>
              <c:showPercent val="0"/>
              <c:showBubbleSize val="0"/>
            </c:dLbl>
            <c:dLbl>
              <c:idx val="4"/>
              <c:layout>
                <c:manualLayout>
                  <c:x val="-2.5101513473606611E-2"/>
                  <c:y val="-3.6968576709796676E-2"/>
                </c:manualLayout>
              </c:layout>
              <c:showLegendKey val="0"/>
              <c:showVal val="1"/>
              <c:showCatName val="0"/>
              <c:showSerName val="0"/>
              <c:showPercent val="0"/>
              <c:showBubbleSize val="0"/>
            </c:dLbl>
            <c:dLbl>
              <c:idx val="5"/>
              <c:layout>
                <c:manualLayout>
                  <c:x val="-2.6578073089701084E-2"/>
                  <c:y val="-3.6968576709796676E-2"/>
                </c:manualLayout>
              </c:layout>
              <c:showLegendKey val="0"/>
              <c:showVal val="1"/>
              <c:showCatName val="0"/>
              <c:showSerName val="0"/>
              <c:showPercent val="0"/>
              <c:showBubbleSize val="0"/>
            </c:dLbl>
            <c:dLbl>
              <c:idx val="6"/>
              <c:layout>
                <c:manualLayout>
                  <c:x val="-1.9195275009228605E-2"/>
                  <c:y val="-3.6968576709796676E-2"/>
                </c:manualLayout>
              </c:layout>
              <c:showLegendKey val="0"/>
              <c:showVal val="1"/>
              <c:showCatName val="0"/>
              <c:showSerName val="0"/>
              <c:showPercent val="0"/>
              <c:showBubbleSize val="0"/>
            </c:dLbl>
            <c:dLbl>
              <c:idx val="7"/>
              <c:layout>
                <c:manualLayout>
                  <c:x val="-1.9195275009228501E-2"/>
                  <c:y val="-3.6968576709796648E-2"/>
                </c:manualLayout>
              </c:layout>
              <c:showLegendKey val="0"/>
              <c:showVal val="1"/>
              <c:showCatName val="0"/>
              <c:showSerName val="0"/>
              <c:showPercent val="0"/>
              <c:showBubbleSize val="0"/>
            </c:dLbl>
            <c:txPr>
              <a:bodyPr/>
              <a:lstStyle/>
              <a:p>
                <a:pPr>
                  <a:defRPr>
                    <a:solidFill>
                      <a:schemeClr val="accent3">
                        <a:lumMod val="50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Race'!$B$17:$I$17</c:f>
              <c:numCache>
                <c:formatCode>_(* #,##0_);_(* \(#,##0\);_(* "-"??_);_(@_)</c:formatCode>
                <c:ptCount val="8"/>
                <c:pt idx="0">
                  <c:v>254886</c:v>
                </c:pt>
                <c:pt idx="1">
                  <c:v>262464</c:v>
                </c:pt>
                <c:pt idx="2">
                  <c:v>268137</c:v>
                </c:pt>
                <c:pt idx="3">
                  <c:v>276576</c:v>
                </c:pt>
                <c:pt idx="4">
                  <c:v>284969</c:v>
                </c:pt>
                <c:pt idx="5">
                  <c:v>292858</c:v>
                </c:pt>
                <c:pt idx="6">
                  <c:v>319529</c:v>
                </c:pt>
                <c:pt idx="7">
                  <c:v>335560</c:v>
                </c:pt>
              </c:numCache>
            </c:numRef>
          </c:val>
        </c:ser>
        <c:ser>
          <c:idx val="3"/>
          <c:order val="3"/>
          <c:tx>
            <c:v>Native Hawaiian/Pacific Islander</c:v>
          </c:tx>
          <c:invertIfNegative val="0"/>
          <c:dLbls>
            <c:dLbl>
              <c:idx val="0"/>
              <c:layout>
                <c:manualLayout>
                  <c:x val="5.9062384643779652E-3"/>
                  <c:y val="-3.943314849044996E-2"/>
                </c:manualLayout>
              </c:layout>
              <c:showLegendKey val="0"/>
              <c:showVal val="1"/>
              <c:showCatName val="0"/>
              <c:showSerName val="0"/>
              <c:showPercent val="0"/>
              <c:showBubbleSize val="0"/>
            </c:dLbl>
            <c:dLbl>
              <c:idx val="1"/>
              <c:layout>
                <c:manualLayout>
                  <c:x val="8.859357696567054E-3"/>
                  <c:y val="-3.6968576709796676E-2"/>
                </c:manualLayout>
              </c:layout>
              <c:showLegendKey val="0"/>
              <c:showVal val="1"/>
              <c:showCatName val="0"/>
              <c:showSerName val="0"/>
              <c:showPercent val="0"/>
              <c:showBubbleSize val="0"/>
            </c:dLbl>
            <c:dLbl>
              <c:idx val="2"/>
              <c:layout>
                <c:manualLayout>
                  <c:x val="5.9062384643780294E-3"/>
                  <c:y val="-3.6968576709796766E-2"/>
                </c:manualLayout>
              </c:layout>
              <c:showLegendKey val="0"/>
              <c:showVal val="1"/>
              <c:showCatName val="0"/>
              <c:showSerName val="0"/>
              <c:showPercent val="0"/>
              <c:showBubbleSize val="0"/>
            </c:dLbl>
            <c:dLbl>
              <c:idx val="3"/>
              <c:layout>
                <c:manualLayout>
                  <c:x val="8.859357696567054E-3"/>
                  <c:y val="-3.6968576709796676E-2"/>
                </c:manualLayout>
              </c:layout>
              <c:showLegendKey val="0"/>
              <c:showVal val="1"/>
              <c:showCatName val="0"/>
              <c:showSerName val="0"/>
              <c:showPercent val="0"/>
              <c:showBubbleSize val="0"/>
            </c:dLbl>
            <c:dLbl>
              <c:idx val="4"/>
              <c:layout>
                <c:manualLayout>
                  <c:x val="7.3827980804725846E-3"/>
                  <c:y val="-3.4504004929143559E-2"/>
                </c:manualLayout>
              </c:layout>
              <c:showLegendKey val="0"/>
              <c:showVal val="1"/>
              <c:showCatName val="0"/>
              <c:showSerName val="0"/>
              <c:showPercent val="0"/>
              <c:showBubbleSize val="0"/>
            </c:dLbl>
            <c:dLbl>
              <c:idx val="5"/>
              <c:layout>
                <c:manualLayout>
                  <c:x val="8.859357696567054E-3"/>
                  <c:y val="-3.4504004929143559E-2"/>
                </c:manualLayout>
              </c:layout>
              <c:showLegendKey val="0"/>
              <c:showVal val="1"/>
              <c:showCatName val="0"/>
              <c:showSerName val="0"/>
              <c:showPercent val="0"/>
              <c:showBubbleSize val="0"/>
            </c:dLbl>
            <c:dLbl>
              <c:idx val="6"/>
              <c:layout>
                <c:manualLayout>
                  <c:x val="1.32890365448505E-2"/>
                  <c:y val="-3.6968576709796676E-2"/>
                </c:manualLayout>
              </c:layout>
              <c:showLegendKey val="0"/>
              <c:showVal val="1"/>
              <c:showCatName val="0"/>
              <c:showSerName val="0"/>
              <c:showPercent val="0"/>
              <c:showBubbleSize val="0"/>
            </c:dLbl>
            <c:dLbl>
              <c:idx val="7"/>
              <c:layout>
                <c:manualLayout>
                  <c:x val="1.1812476928756001E-2"/>
                  <c:y val="-3.6968576709796648E-2"/>
                </c:manualLayout>
              </c:layout>
              <c:showLegendKey val="0"/>
              <c:showVal val="1"/>
              <c:showCatName val="0"/>
              <c:showSerName val="0"/>
              <c:showPercent val="0"/>
              <c:showBubbleSize val="0"/>
            </c:dLbl>
            <c:txPr>
              <a:bodyPr/>
              <a:lstStyle/>
              <a:p>
                <a:pPr>
                  <a:defRPr>
                    <a:solidFill>
                      <a:schemeClr val="accent4">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Race'!$B$20:$I$20</c:f>
              <c:numCache>
                <c:formatCode>_(* #,##0_);_(* \(#,##0\);_(* "-"??_);_(@_)</c:formatCode>
                <c:ptCount val="8"/>
                <c:pt idx="0">
                  <c:v>12055</c:v>
                </c:pt>
                <c:pt idx="1">
                  <c:v>12173</c:v>
                </c:pt>
                <c:pt idx="2">
                  <c:v>12334</c:v>
                </c:pt>
                <c:pt idx="3">
                  <c:v>12593</c:v>
                </c:pt>
                <c:pt idx="4">
                  <c:v>12845</c:v>
                </c:pt>
                <c:pt idx="5">
                  <c:v>13084</c:v>
                </c:pt>
                <c:pt idx="6">
                  <c:v>13879</c:v>
                </c:pt>
                <c:pt idx="7">
                  <c:v>14307</c:v>
                </c:pt>
              </c:numCache>
            </c:numRef>
          </c:val>
        </c:ser>
        <c:ser>
          <c:idx val="4"/>
          <c:order val="4"/>
          <c:tx>
            <c:v>Hispanic/Latino</c:v>
          </c:tx>
          <c:invertIfNegative val="0"/>
          <c:dLbls>
            <c:dLbl>
              <c:idx val="0"/>
              <c:layout>
                <c:manualLayout>
                  <c:x val="-5.9062384643780294E-3"/>
                  <c:y val="-3.943314849044996E-2"/>
                </c:manualLayout>
              </c:layout>
              <c:showLegendKey val="0"/>
              <c:showVal val="1"/>
              <c:showCatName val="0"/>
              <c:showSerName val="0"/>
              <c:showPercent val="0"/>
              <c:showBubbleSize val="0"/>
            </c:dLbl>
            <c:dLbl>
              <c:idx val="1"/>
              <c:layout>
                <c:manualLayout>
                  <c:x val="-5.9062384643780294E-3"/>
                  <c:y val="-4.1897720271102903E-2"/>
                </c:manualLayout>
              </c:layout>
              <c:showLegendKey val="0"/>
              <c:showVal val="1"/>
              <c:showCatName val="0"/>
              <c:showSerName val="0"/>
              <c:showPercent val="0"/>
              <c:showBubbleSize val="0"/>
            </c:dLbl>
            <c:dLbl>
              <c:idx val="2"/>
              <c:layout>
                <c:manualLayout>
                  <c:x val="-1.0335917312661499E-2"/>
                  <c:y val="-4.1897720271102987E-2"/>
                </c:manualLayout>
              </c:layout>
              <c:showLegendKey val="0"/>
              <c:showVal val="1"/>
              <c:showCatName val="0"/>
              <c:showSerName val="0"/>
              <c:showPercent val="0"/>
              <c:showBubbleSize val="0"/>
            </c:dLbl>
            <c:dLbl>
              <c:idx val="3"/>
              <c:layout>
                <c:manualLayout>
                  <c:x val="-1.32890365448505E-2"/>
                  <c:y val="-3.6968576709796676E-2"/>
                </c:manualLayout>
              </c:layout>
              <c:showLegendKey val="0"/>
              <c:showVal val="1"/>
              <c:showCatName val="0"/>
              <c:showSerName val="0"/>
              <c:showPercent val="0"/>
              <c:showBubbleSize val="0"/>
            </c:dLbl>
            <c:dLbl>
              <c:idx val="4"/>
              <c:layout>
                <c:manualLayout>
                  <c:x val="-2.0671834625323186E-2"/>
                  <c:y val="-3.2039433148490455E-2"/>
                </c:manualLayout>
              </c:layout>
              <c:showLegendKey val="0"/>
              <c:showVal val="1"/>
              <c:showCatName val="0"/>
              <c:showSerName val="0"/>
              <c:showPercent val="0"/>
              <c:showBubbleSize val="0"/>
            </c:dLbl>
            <c:dLbl>
              <c:idx val="5"/>
              <c:layout>
                <c:manualLayout>
                  <c:x val="-2.3624953857511993E-2"/>
                  <c:y val="-3.6968576709796676E-2"/>
                </c:manualLayout>
              </c:layout>
              <c:showLegendKey val="0"/>
              <c:showVal val="1"/>
              <c:showCatName val="0"/>
              <c:showSerName val="0"/>
              <c:showPercent val="0"/>
              <c:showBubbleSize val="0"/>
            </c:dLbl>
            <c:dLbl>
              <c:idx val="6"/>
              <c:layout>
                <c:manualLayout>
                  <c:x val="-2.5101513473606611E-2"/>
                  <c:y val="-3.6968576709796676E-2"/>
                </c:manualLayout>
              </c:layout>
              <c:showLegendKey val="0"/>
              <c:showVal val="1"/>
              <c:showCatName val="0"/>
              <c:showSerName val="0"/>
              <c:showPercent val="0"/>
              <c:showBubbleSize val="0"/>
            </c:dLbl>
            <c:dLbl>
              <c:idx val="7"/>
              <c:layout>
                <c:manualLayout>
                  <c:x val="-2.0671834625323186E-2"/>
                  <c:y val="-3.6968576709796648E-2"/>
                </c:manualLayout>
              </c:layout>
              <c:showLegendKey val="0"/>
              <c:showVal val="1"/>
              <c:showCatName val="0"/>
              <c:showSerName val="0"/>
              <c:showPercent val="0"/>
              <c:showBubbleSize val="0"/>
            </c:dLbl>
            <c:txPr>
              <a:bodyPr/>
              <a:lstStyle/>
              <a:p>
                <a:pPr>
                  <a:defRPr>
                    <a:solidFill>
                      <a:schemeClr val="accent5">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Race'!$B$21:$I$21</c:f>
              <c:numCache>
                <c:formatCode>_(* #,##0_);_(* \(#,##0\);_(* "-"??_);_(@_)</c:formatCode>
                <c:ptCount val="8"/>
                <c:pt idx="0">
                  <c:v>2008976</c:v>
                </c:pt>
                <c:pt idx="1">
                  <c:v>2060240</c:v>
                </c:pt>
                <c:pt idx="2">
                  <c:v>2105956</c:v>
                </c:pt>
                <c:pt idx="3">
                  <c:v>2165866</c:v>
                </c:pt>
                <c:pt idx="4">
                  <c:v>2222458</c:v>
                </c:pt>
                <c:pt idx="5">
                  <c:v>2276693</c:v>
                </c:pt>
                <c:pt idx="6">
                  <c:v>2460850</c:v>
                </c:pt>
                <c:pt idx="7">
                  <c:v>2519083</c:v>
                </c:pt>
              </c:numCache>
            </c:numRef>
          </c:val>
        </c:ser>
        <c:ser>
          <c:idx val="5"/>
          <c:order val="5"/>
          <c:tx>
            <c:v>American Indian/Alaskan Native</c:v>
          </c:tx>
          <c:invertIfNegative val="0"/>
          <c:dLbls>
            <c:dLbl>
              <c:idx val="0"/>
              <c:layout>
                <c:manualLayout>
                  <c:x val="-2.9531192321890012E-2"/>
                  <c:y val="-3.6968576709796676E-2"/>
                </c:manualLayout>
              </c:layout>
              <c:showLegendKey val="0"/>
              <c:showVal val="1"/>
              <c:showCatName val="0"/>
              <c:showSerName val="0"/>
              <c:showPercent val="0"/>
              <c:showBubbleSize val="0"/>
            </c:dLbl>
            <c:dLbl>
              <c:idx val="1"/>
              <c:layout>
                <c:manualLayout>
                  <c:x val="-3.2484311554079187E-2"/>
                  <c:y val="-3.6968576709796676E-2"/>
                </c:manualLayout>
              </c:layout>
              <c:showLegendKey val="0"/>
              <c:showVal val="1"/>
              <c:showCatName val="0"/>
              <c:showSerName val="0"/>
              <c:showPercent val="0"/>
              <c:showBubbleSize val="0"/>
            </c:dLbl>
            <c:dLbl>
              <c:idx val="2"/>
              <c:layout>
                <c:manualLayout>
                  <c:x val="-3.2484311554079298E-2"/>
                  <c:y val="-3.6968576709796766E-2"/>
                </c:manualLayout>
              </c:layout>
              <c:showLegendKey val="0"/>
              <c:showVal val="1"/>
              <c:showCatName val="0"/>
              <c:showSerName val="0"/>
              <c:showPercent val="0"/>
              <c:showBubbleSize val="0"/>
            </c:dLbl>
            <c:dLbl>
              <c:idx val="3"/>
              <c:layout>
                <c:manualLayout>
                  <c:x val="-3.1007751937984603E-2"/>
                  <c:y val="-3.6968576709796676E-2"/>
                </c:manualLayout>
              </c:layout>
              <c:showLegendKey val="0"/>
              <c:showVal val="1"/>
              <c:showCatName val="0"/>
              <c:showSerName val="0"/>
              <c:showPercent val="0"/>
              <c:showBubbleSize val="0"/>
            </c:dLbl>
            <c:dLbl>
              <c:idx val="4"/>
              <c:layout>
                <c:manualLayout>
                  <c:x val="-2.805463270579539E-2"/>
                  <c:y val="-3.6968576709796676E-2"/>
                </c:manualLayout>
              </c:layout>
              <c:showLegendKey val="0"/>
              <c:showVal val="1"/>
              <c:showCatName val="0"/>
              <c:showSerName val="0"/>
              <c:showPercent val="0"/>
              <c:showBubbleSize val="0"/>
            </c:dLbl>
            <c:dLbl>
              <c:idx val="5"/>
              <c:layout>
                <c:manualLayout>
                  <c:x val="-3.1007751937984489E-2"/>
                  <c:y val="-3.943314849044996E-2"/>
                </c:manualLayout>
              </c:layout>
              <c:showLegendKey val="0"/>
              <c:showVal val="1"/>
              <c:showCatName val="0"/>
              <c:showSerName val="0"/>
              <c:showPercent val="0"/>
              <c:showBubbleSize val="0"/>
            </c:dLbl>
            <c:dLbl>
              <c:idx val="6"/>
              <c:layout>
                <c:manualLayout>
                  <c:x val="-3.2484311554079187E-2"/>
                  <c:y val="-3.4504004929143559E-2"/>
                </c:manualLayout>
              </c:layout>
              <c:showLegendKey val="0"/>
              <c:showVal val="1"/>
              <c:showCatName val="0"/>
              <c:showSerName val="0"/>
              <c:showPercent val="0"/>
              <c:showBubbleSize val="0"/>
            </c:dLbl>
            <c:dLbl>
              <c:idx val="7"/>
              <c:layout>
                <c:manualLayout>
                  <c:x val="-3.9867109634551395E-2"/>
                  <c:y val="-3.6968576709796648E-2"/>
                </c:manualLayout>
              </c:layout>
              <c:showLegendKey val="0"/>
              <c:showVal val="1"/>
              <c:showCatName val="0"/>
              <c:showSerName val="0"/>
              <c:showPercent val="0"/>
              <c:showBubbleSize val="0"/>
            </c:dLbl>
            <c:txPr>
              <a:bodyPr/>
              <a:lstStyle/>
              <a:p>
                <a:pPr>
                  <a:defRPr>
                    <a:solidFill>
                      <a:schemeClr val="accent6">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Race'!$B$19:$I$19</c:f>
              <c:numCache>
                <c:formatCode>_(* #,##0_);_(* \(#,##0\);_(* "-"??_);_(@_)</c:formatCode>
                <c:ptCount val="8"/>
                <c:pt idx="0">
                  <c:v>19737</c:v>
                </c:pt>
                <c:pt idx="1">
                  <c:v>19766</c:v>
                </c:pt>
                <c:pt idx="2">
                  <c:v>19770</c:v>
                </c:pt>
                <c:pt idx="3">
                  <c:v>19622</c:v>
                </c:pt>
                <c:pt idx="4">
                  <c:v>19533</c:v>
                </c:pt>
                <c:pt idx="5">
                  <c:v>19477</c:v>
                </c:pt>
                <c:pt idx="6">
                  <c:v>19200</c:v>
                </c:pt>
                <c:pt idx="7">
                  <c:v>19531</c:v>
                </c:pt>
              </c:numCache>
            </c:numRef>
          </c:val>
        </c:ser>
        <c:ser>
          <c:idx val="6"/>
          <c:order val="6"/>
          <c:tx>
            <c:v>Other/2 or More</c:v>
          </c:tx>
          <c:invertIfNegative val="0"/>
          <c:dLbls>
            <c:dLbl>
              <c:idx val="0"/>
              <c:layout>
                <c:manualLayout>
                  <c:x val="1.4765596160944998E-2"/>
                  <c:y val="-3.6968576709796676E-2"/>
                </c:manualLayout>
              </c:layout>
              <c:showLegendKey val="0"/>
              <c:showVal val="1"/>
              <c:showCatName val="0"/>
              <c:showSerName val="0"/>
              <c:showPercent val="0"/>
              <c:showBubbleSize val="0"/>
            </c:dLbl>
            <c:dLbl>
              <c:idx val="1"/>
              <c:layout>
                <c:manualLayout>
                  <c:x val="1.7718715393134001E-2"/>
                  <c:y val="-3.6968576709796676E-2"/>
                </c:manualLayout>
              </c:layout>
              <c:showLegendKey val="0"/>
              <c:showVal val="1"/>
              <c:showCatName val="0"/>
              <c:showSerName val="0"/>
              <c:showPercent val="0"/>
              <c:showBubbleSize val="0"/>
            </c:dLbl>
            <c:dLbl>
              <c:idx val="2"/>
              <c:layout>
                <c:manualLayout>
                  <c:x val="1.624215577703967E-2"/>
                  <c:y val="-3.6968576709796766E-2"/>
                </c:manualLayout>
              </c:layout>
              <c:showLegendKey val="0"/>
              <c:showVal val="1"/>
              <c:showCatName val="0"/>
              <c:showSerName val="0"/>
              <c:showPercent val="0"/>
              <c:showBubbleSize val="0"/>
            </c:dLbl>
            <c:dLbl>
              <c:idx val="3"/>
              <c:layout>
                <c:manualLayout>
                  <c:x val="1.4765596160944998E-2"/>
                  <c:y val="-3.6968576709796676E-2"/>
                </c:manualLayout>
              </c:layout>
              <c:showLegendKey val="0"/>
              <c:showVal val="1"/>
              <c:showCatName val="0"/>
              <c:showSerName val="0"/>
              <c:showPercent val="0"/>
              <c:showBubbleSize val="0"/>
            </c:dLbl>
            <c:dLbl>
              <c:idx val="4"/>
              <c:layout>
                <c:manualLayout>
                  <c:x val="1.624215577703967E-2"/>
                  <c:y val="-3.6968576709796676E-2"/>
                </c:manualLayout>
              </c:layout>
              <c:showLegendKey val="0"/>
              <c:showVal val="1"/>
              <c:showCatName val="0"/>
              <c:showSerName val="0"/>
              <c:showPercent val="0"/>
              <c:showBubbleSize val="0"/>
            </c:dLbl>
            <c:dLbl>
              <c:idx val="5"/>
              <c:layout>
                <c:manualLayout>
                  <c:x val="2.2148394241417603E-2"/>
                  <c:y val="-3.943314849044996E-2"/>
                </c:manualLayout>
              </c:layout>
              <c:showLegendKey val="0"/>
              <c:showVal val="1"/>
              <c:showCatName val="0"/>
              <c:showSerName val="0"/>
              <c:showPercent val="0"/>
              <c:showBubbleSize val="0"/>
            </c:dLbl>
            <c:dLbl>
              <c:idx val="6"/>
              <c:layout>
                <c:manualLayout>
                  <c:x val="1.9195275009228501E-2"/>
                  <c:y val="-3.6968576709796676E-2"/>
                </c:manualLayout>
              </c:layout>
              <c:showLegendKey val="0"/>
              <c:showVal val="1"/>
              <c:showCatName val="0"/>
              <c:showSerName val="0"/>
              <c:showPercent val="0"/>
              <c:showBubbleSize val="0"/>
            </c:dLbl>
            <c:dLbl>
              <c:idx val="7"/>
              <c:layout>
                <c:manualLayout>
                  <c:x val="1.624215577703967E-2"/>
                  <c:y val="-3.6968576709796648E-2"/>
                </c:manualLayout>
              </c:layout>
              <c:showLegendKey val="0"/>
              <c:showVal val="1"/>
              <c:showCatName val="0"/>
              <c:showSerName val="0"/>
              <c:showPercent val="0"/>
              <c:showBubbleSize val="0"/>
            </c:dLbl>
            <c:txPr>
              <a:bodyPr/>
              <a:lstStyle/>
              <a:p>
                <a:pPr>
                  <a:defRPr>
                    <a:solidFill>
                      <a:schemeClr val="accent1">
                        <a:lumMod val="75000"/>
                      </a:schemeClr>
                    </a:solidFill>
                  </a:defRPr>
                </a:pPr>
                <a:endParaRPr lang="en-US"/>
              </a:p>
            </c:txPr>
            <c:showLegendKey val="0"/>
            <c:showVal val="1"/>
            <c:showCatName val="0"/>
            <c:showSerName val="0"/>
            <c:showPercent val="0"/>
            <c:showBubbleSize val="0"/>
            <c:showLeaderLines val="0"/>
          </c:dLbls>
          <c:cat>
            <c:numRef>
              <c:f>'Regional Pop. by Race'!$B$14:$I$14</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Race'!$B$18:$I$18</c:f>
              <c:numCache>
                <c:formatCode>_(* #,##0_);_(* \(#,##0\);_(* "-"??_);_(@_)</c:formatCode>
                <c:ptCount val="8"/>
                <c:pt idx="0">
                  <c:v>86874</c:v>
                </c:pt>
                <c:pt idx="1">
                  <c:v>89455</c:v>
                </c:pt>
                <c:pt idx="2">
                  <c:v>91938</c:v>
                </c:pt>
                <c:pt idx="3">
                  <c:v>94866</c:v>
                </c:pt>
                <c:pt idx="4">
                  <c:v>97663</c:v>
                </c:pt>
                <c:pt idx="5">
                  <c:v>100375</c:v>
                </c:pt>
                <c:pt idx="6">
                  <c:v>109620</c:v>
                </c:pt>
                <c:pt idx="7">
                  <c:v>111777</c:v>
                </c:pt>
              </c:numCache>
            </c:numRef>
          </c:val>
        </c:ser>
        <c:dLbls>
          <c:showLegendKey val="0"/>
          <c:showVal val="0"/>
          <c:showCatName val="0"/>
          <c:showSerName val="0"/>
          <c:showPercent val="0"/>
          <c:showBubbleSize val="0"/>
        </c:dLbls>
        <c:gapWidth val="150"/>
        <c:overlap val="100"/>
        <c:axId val="267543040"/>
        <c:axId val="184577984"/>
      </c:barChart>
      <c:catAx>
        <c:axId val="267543040"/>
        <c:scaling>
          <c:orientation val="minMax"/>
        </c:scaling>
        <c:delete val="0"/>
        <c:axPos val="l"/>
        <c:numFmt formatCode="General" sourceLinked="1"/>
        <c:majorTickMark val="out"/>
        <c:minorTickMark val="none"/>
        <c:tickLblPos val="nextTo"/>
        <c:crossAx val="184577984"/>
        <c:crosses val="autoZero"/>
        <c:auto val="1"/>
        <c:lblAlgn val="ctr"/>
        <c:lblOffset val="100"/>
        <c:noMultiLvlLbl val="0"/>
      </c:catAx>
      <c:valAx>
        <c:axId val="184577984"/>
        <c:scaling>
          <c:orientation val="minMax"/>
        </c:scaling>
        <c:delete val="0"/>
        <c:axPos val="b"/>
        <c:majorGridlines>
          <c:spPr>
            <a:ln>
              <a:solidFill>
                <a:srgbClr val="4F81BD">
                  <a:alpha val="0"/>
                </a:srgbClr>
              </a:solidFill>
            </a:ln>
          </c:spPr>
        </c:majorGridlines>
        <c:numFmt formatCode="0%" sourceLinked="1"/>
        <c:majorTickMark val="out"/>
        <c:minorTickMark val="none"/>
        <c:tickLblPos val="nextTo"/>
        <c:crossAx val="267543040"/>
        <c:crosses val="autoZero"/>
        <c:crossBetween val="between"/>
      </c:valAx>
    </c:plotArea>
    <c:legend>
      <c:legendPos val="r"/>
      <c:layout>
        <c:manualLayout>
          <c:xMode val="edge"/>
          <c:yMode val="edge"/>
          <c:x val="5.370315714639641E-2"/>
          <c:y val="2.1556396359546002E-3"/>
          <c:w val="0.89609380222821156"/>
          <c:h val="0.1297444183113475"/>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29672252506904"/>
          <c:y val="0.11982474206715028"/>
          <c:w val="0.82083828689903904"/>
          <c:h val="0.81506387724926199"/>
        </c:manualLayout>
      </c:layout>
      <c:barChart>
        <c:barDir val="col"/>
        <c:grouping val="clustered"/>
        <c:varyColors val="0"/>
        <c:ser>
          <c:idx val="0"/>
          <c:order val="0"/>
          <c:tx>
            <c:v>Male</c:v>
          </c:tx>
          <c:invertIfNegative val="0"/>
          <c:dLbls>
            <c:txPr>
              <a:bodyPr rot="5400000" vert="horz"/>
              <a:lstStyle/>
              <a:p>
                <a:pPr>
                  <a:defRPr baseline="0">
                    <a:solidFill>
                      <a:schemeClr val="bg1"/>
                    </a:solidFill>
                  </a:defRPr>
                </a:pPr>
                <a:endParaRPr lang="en-US"/>
              </a:p>
            </c:txPr>
            <c:dLblPos val="ctr"/>
            <c:showLegendKey val="0"/>
            <c:showVal val="1"/>
            <c:showCatName val="0"/>
            <c:showSerName val="0"/>
            <c:showPercent val="0"/>
            <c:showBubbleSize val="0"/>
            <c:showLeaderLines val="0"/>
          </c:dLbls>
          <c:cat>
            <c:numRef>
              <c:f>'Crafton Hills - Pop. by Gender'!$B$17:$I$17</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Gender'!$B$18:$I$18</c:f>
              <c:numCache>
                <c:formatCode>_(* #,##0_);_(* \(#,##0\);_(* "-"??_);_(@_)</c:formatCode>
                <c:ptCount val="8"/>
                <c:pt idx="0">
                  <c:v>458108</c:v>
                </c:pt>
                <c:pt idx="1">
                  <c:v>464194</c:v>
                </c:pt>
                <c:pt idx="2">
                  <c:v>468963</c:v>
                </c:pt>
                <c:pt idx="3">
                  <c:v>474623</c:v>
                </c:pt>
                <c:pt idx="4">
                  <c:v>480386</c:v>
                </c:pt>
                <c:pt idx="5">
                  <c:v>485963</c:v>
                </c:pt>
                <c:pt idx="6">
                  <c:v>504951</c:v>
                </c:pt>
                <c:pt idx="7">
                  <c:v>514272.13279697311</c:v>
                </c:pt>
              </c:numCache>
            </c:numRef>
          </c:val>
        </c:ser>
        <c:ser>
          <c:idx val="1"/>
          <c:order val="1"/>
          <c:tx>
            <c:v>Female</c:v>
          </c:tx>
          <c:invertIfNegative val="0"/>
          <c:dLbls>
            <c:txPr>
              <a:bodyPr rot="5400000" vert="horz"/>
              <a:lstStyle/>
              <a:p>
                <a:pPr>
                  <a:defRPr baseline="0">
                    <a:solidFill>
                      <a:schemeClr val="bg1"/>
                    </a:solidFill>
                  </a:defRPr>
                </a:pPr>
                <a:endParaRPr lang="en-US"/>
              </a:p>
            </c:txPr>
            <c:dLblPos val="ctr"/>
            <c:showLegendKey val="0"/>
            <c:showVal val="1"/>
            <c:showCatName val="0"/>
            <c:showSerName val="0"/>
            <c:showPercent val="0"/>
            <c:showBubbleSize val="0"/>
            <c:showLeaderLines val="0"/>
          </c:dLbls>
          <c:cat>
            <c:numRef>
              <c:f>'Crafton Hills - Pop. by Gender'!$B$17:$I$17</c:f>
              <c:numCache>
                <c:formatCode>General</c:formatCode>
                <c:ptCount val="8"/>
                <c:pt idx="0">
                  <c:v>2010</c:v>
                </c:pt>
                <c:pt idx="1">
                  <c:v>2011</c:v>
                </c:pt>
                <c:pt idx="2">
                  <c:v>2012</c:v>
                </c:pt>
                <c:pt idx="3">
                  <c:v>2013</c:v>
                </c:pt>
                <c:pt idx="4">
                  <c:v>2014</c:v>
                </c:pt>
                <c:pt idx="5">
                  <c:v>2015</c:v>
                </c:pt>
                <c:pt idx="6">
                  <c:v>2020</c:v>
                </c:pt>
                <c:pt idx="7">
                  <c:v>2025</c:v>
                </c:pt>
              </c:numCache>
            </c:numRef>
          </c:cat>
          <c:val>
            <c:numRef>
              <c:f>'Crafton Hills - Pop. by Gender'!$B$19:$I$19</c:f>
              <c:numCache>
                <c:formatCode>_(* #,##0_);_(* \(#,##0\);_(* "-"??_);_(@_)</c:formatCode>
                <c:ptCount val="8"/>
                <c:pt idx="0">
                  <c:v>475321</c:v>
                </c:pt>
                <c:pt idx="1">
                  <c:v>481377</c:v>
                </c:pt>
                <c:pt idx="2">
                  <c:v>485324</c:v>
                </c:pt>
                <c:pt idx="3">
                  <c:v>491392</c:v>
                </c:pt>
                <c:pt idx="4">
                  <c:v>497456</c:v>
                </c:pt>
                <c:pt idx="5">
                  <c:v>503546</c:v>
                </c:pt>
                <c:pt idx="6">
                  <c:v>523101</c:v>
                </c:pt>
                <c:pt idx="7">
                  <c:v>532670.17905091681</c:v>
                </c:pt>
              </c:numCache>
            </c:numRef>
          </c:val>
        </c:ser>
        <c:dLbls>
          <c:showLegendKey val="0"/>
          <c:showVal val="0"/>
          <c:showCatName val="0"/>
          <c:showSerName val="0"/>
          <c:showPercent val="0"/>
          <c:showBubbleSize val="0"/>
        </c:dLbls>
        <c:gapWidth val="150"/>
        <c:axId val="185876480"/>
        <c:axId val="184579712"/>
      </c:barChart>
      <c:catAx>
        <c:axId val="185876480"/>
        <c:scaling>
          <c:orientation val="minMax"/>
        </c:scaling>
        <c:delete val="0"/>
        <c:axPos val="b"/>
        <c:majorGridlines/>
        <c:numFmt formatCode="General" sourceLinked="1"/>
        <c:majorTickMark val="out"/>
        <c:minorTickMark val="none"/>
        <c:tickLblPos val="nextTo"/>
        <c:crossAx val="184579712"/>
        <c:crosses val="autoZero"/>
        <c:auto val="1"/>
        <c:lblAlgn val="ctr"/>
        <c:lblOffset val="100"/>
        <c:noMultiLvlLbl val="0"/>
      </c:catAx>
      <c:valAx>
        <c:axId val="184579712"/>
        <c:scaling>
          <c:orientation val="minMax"/>
        </c:scaling>
        <c:delete val="0"/>
        <c:axPos val="l"/>
        <c:numFmt formatCode="_(* #,##0_);_(* \(#,##0\);_(* &quot;-&quot;??_);_(@_)" sourceLinked="1"/>
        <c:majorTickMark val="out"/>
        <c:minorTickMark val="none"/>
        <c:tickLblPos val="nextTo"/>
        <c:crossAx val="185876480"/>
        <c:crosses val="autoZero"/>
        <c:crossBetween val="between"/>
      </c:valAx>
    </c:plotArea>
    <c:legend>
      <c:legendPos val="r"/>
      <c:layout>
        <c:manualLayout>
          <c:xMode val="edge"/>
          <c:yMode val="edge"/>
          <c:x val="0.36836647822868307"/>
          <c:y val="9.2155813475916059E-4"/>
          <c:w val="0.27693266707046243"/>
          <c:h val="5.7741582987449261E-2"/>
        </c:manualLayout>
      </c:layout>
      <c:overlay val="0"/>
    </c:legend>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95689481122562"/>
          <c:y val="0.1238324673863026"/>
          <c:w val="0.82543115618940288"/>
          <c:h val="0.7912968405636468"/>
        </c:manualLayout>
      </c:layout>
      <c:barChart>
        <c:barDir val="col"/>
        <c:grouping val="clustered"/>
        <c:varyColors val="0"/>
        <c:ser>
          <c:idx val="0"/>
          <c:order val="0"/>
          <c:tx>
            <c:v>Male</c:v>
          </c:tx>
          <c:invertIfNegative val="0"/>
          <c:dLbls>
            <c:txPr>
              <a:bodyPr rot="5400000" vert="horz"/>
              <a:lstStyle/>
              <a:p>
                <a:pPr>
                  <a:defRPr baseline="0">
                    <a:solidFill>
                      <a:schemeClr val="bg1"/>
                    </a:solidFill>
                  </a:defRPr>
                </a:pPr>
                <a:endParaRPr lang="en-US"/>
              </a:p>
            </c:txPr>
            <c:dLblPos val="ctr"/>
            <c:showLegendKey val="0"/>
            <c:showVal val="1"/>
            <c:showCatName val="0"/>
            <c:showSerName val="0"/>
            <c:showPercent val="0"/>
            <c:showBubbleSize val="0"/>
            <c:showLeaderLines val="0"/>
          </c:dLbls>
          <c:cat>
            <c:numRef>
              <c:f>'Regional Pop. by Gender'!$B$9:$I$9</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Gender'!$B$10:$I$10</c:f>
              <c:numCache>
                <c:formatCode>_(* #,##0_);_(* \(#,##0\);_(* "-"??_);_(@_)</c:formatCode>
                <c:ptCount val="8"/>
                <c:pt idx="0">
                  <c:v>2110543</c:v>
                </c:pt>
                <c:pt idx="1">
                  <c:v>2140422</c:v>
                </c:pt>
                <c:pt idx="2">
                  <c:v>2166567</c:v>
                </c:pt>
                <c:pt idx="3">
                  <c:v>2199197</c:v>
                </c:pt>
                <c:pt idx="4">
                  <c:v>2231213</c:v>
                </c:pt>
                <c:pt idx="5">
                  <c:v>2262587</c:v>
                </c:pt>
                <c:pt idx="6">
                  <c:v>2366753</c:v>
                </c:pt>
                <c:pt idx="7">
                  <c:v>2384493</c:v>
                </c:pt>
              </c:numCache>
            </c:numRef>
          </c:val>
        </c:ser>
        <c:ser>
          <c:idx val="1"/>
          <c:order val="1"/>
          <c:tx>
            <c:v>Female</c:v>
          </c:tx>
          <c:invertIfNegative val="0"/>
          <c:dLbls>
            <c:txPr>
              <a:bodyPr rot="5400000" vert="horz"/>
              <a:lstStyle/>
              <a:p>
                <a:pPr>
                  <a:defRPr baseline="0">
                    <a:solidFill>
                      <a:schemeClr val="bg1"/>
                    </a:solidFill>
                  </a:defRPr>
                </a:pPr>
                <a:endParaRPr lang="en-US"/>
              </a:p>
            </c:txPr>
            <c:dLblPos val="ctr"/>
            <c:showLegendKey val="0"/>
            <c:showVal val="1"/>
            <c:showCatName val="0"/>
            <c:showSerName val="0"/>
            <c:showPercent val="0"/>
            <c:showBubbleSize val="0"/>
            <c:showLeaderLines val="0"/>
          </c:dLbls>
          <c:cat>
            <c:numRef>
              <c:f>'Regional Pop. by Gender'!$B$9:$I$9</c:f>
              <c:numCache>
                <c:formatCode>General</c:formatCode>
                <c:ptCount val="8"/>
                <c:pt idx="0">
                  <c:v>2010</c:v>
                </c:pt>
                <c:pt idx="1">
                  <c:v>2011</c:v>
                </c:pt>
                <c:pt idx="2">
                  <c:v>2012</c:v>
                </c:pt>
                <c:pt idx="3">
                  <c:v>2013</c:v>
                </c:pt>
                <c:pt idx="4">
                  <c:v>2014</c:v>
                </c:pt>
                <c:pt idx="5">
                  <c:v>2015</c:v>
                </c:pt>
                <c:pt idx="6">
                  <c:v>2020</c:v>
                </c:pt>
                <c:pt idx="7">
                  <c:v>2025</c:v>
                </c:pt>
              </c:numCache>
            </c:numRef>
          </c:cat>
          <c:val>
            <c:numRef>
              <c:f>'Regional Pop. by Gender'!$B$11:$I$11</c:f>
              <c:numCache>
                <c:formatCode>_(* #,##0_);_(* \(#,##0\);_(* "-"??_);_(@_)</c:formatCode>
                <c:ptCount val="8"/>
                <c:pt idx="0">
                  <c:v>2133013</c:v>
                </c:pt>
                <c:pt idx="1">
                  <c:v>2161725</c:v>
                </c:pt>
                <c:pt idx="2">
                  <c:v>2184042</c:v>
                </c:pt>
                <c:pt idx="3">
                  <c:v>2217392</c:v>
                </c:pt>
                <c:pt idx="4">
                  <c:v>2249791</c:v>
                </c:pt>
                <c:pt idx="5">
                  <c:v>2282737</c:v>
                </c:pt>
                <c:pt idx="6">
                  <c:v>2389130</c:v>
                </c:pt>
                <c:pt idx="7">
                  <c:v>2413146</c:v>
                </c:pt>
              </c:numCache>
            </c:numRef>
          </c:val>
        </c:ser>
        <c:dLbls>
          <c:showLegendKey val="0"/>
          <c:showVal val="0"/>
          <c:showCatName val="0"/>
          <c:showSerName val="0"/>
          <c:showPercent val="0"/>
          <c:showBubbleSize val="0"/>
        </c:dLbls>
        <c:gapWidth val="150"/>
        <c:axId val="185876992"/>
        <c:axId val="184581440"/>
      </c:barChart>
      <c:catAx>
        <c:axId val="185876992"/>
        <c:scaling>
          <c:orientation val="minMax"/>
        </c:scaling>
        <c:delete val="0"/>
        <c:axPos val="b"/>
        <c:majorGridlines/>
        <c:title>
          <c:tx>
            <c:rich>
              <a:bodyPr/>
              <a:lstStyle/>
              <a:p>
                <a:pPr>
                  <a:defRPr/>
                </a:pPr>
                <a:r>
                  <a:rPr lang="en-US"/>
                  <a:t>Year</a:t>
                </a:r>
              </a:p>
            </c:rich>
          </c:tx>
          <c:overlay val="0"/>
        </c:title>
        <c:numFmt formatCode="General" sourceLinked="1"/>
        <c:majorTickMark val="out"/>
        <c:minorTickMark val="none"/>
        <c:tickLblPos val="nextTo"/>
        <c:crossAx val="184581440"/>
        <c:crosses val="autoZero"/>
        <c:auto val="1"/>
        <c:lblAlgn val="ctr"/>
        <c:lblOffset val="100"/>
        <c:noMultiLvlLbl val="0"/>
      </c:catAx>
      <c:valAx>
        <c:axId val="184581440"/>
        <c:scaling>
          <c:orientation val="minMax"/>
        </c:scaling>
        <c:delete val="0"/>
        <c:axPos val="l"/>
        <c:title>
          <c:tx>
            <c:rich>
              <a:bodyPr rot="-5400000" vert="horz"/>
              <a:lstStyle/>
              <a:p>
                <a:pPr>
                  <a:defRPr/>
                </a:pPr>
                <a:r>
                  <a:rPr lang="en-US"/>
                  <a:t>Population</a:t>
                </a:r>
              </a:p>
            </c:rich>
          </c:tx>
          <c:overlay val="0"/>
        </c:title>
        <c:numFmt formatCode="_(* #,##0_);_(* \(#,##0\);_(* &quot;-&quot;??_);_(@_)" sourceLinked="1"/>
        <c:majorTickMark val="out"/>
        <c:minorTickMark val="none"/>
        <c:tickLblPos val="nextTo"/>
        <c:crossAx val="185876992"/>
        <c:crosses val="autoZero"/>
        <c:crossBetween val="between"/>
      </c:valAx>
    </c:plotArea>
    <c:legend>
      <c:legendPos val="t"/>
      <c:layout>
        <c:manualLayout>
          <c:xMode val="edge"/>
          <c:yMode val="edge"/>
          <c:x val="0.40743724342149529"/>
          <c:y val="0"/>
          <c:w val="0.18512551315700923"/>
          <c:h val="6.5434823180122212E-2"/>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93010595897738"/>
          <c:y val="0.11918644190094797"/>
          <c:w val="0.77822184305114639"/>
          <c:h val="0.78796735617051084"/>
        </c:manualLayout>
      </c:layout>
      <c:pie3DChart>
        <c:varyColors val="1"/>
        <c:ser>
          <c:idx val="0"/>
          <c:order val="0"/>
          <c:dLbls>
            <c:showLegendKey val="0"/>
            <c:showVal val="1"/>
            <c:showCatName val="0"/>
            <c:showSerName val="0"/>
            <c:showPercent val="1"/>
            <c:showBubbleSize val="0"/>
            <c:separator>
</c:separator>
            <c:showLeaderLines val="1"/>
          </c:dLbls>
          <c:cat>
            <c:strRef>
              <c:f>'Ed Attainment'!$A$13:$A$18</c:f>
              <c:strCache>
                <c:ptCount val="6"/>
                <c:pt idx="0">
                  <c:v>No H.S. Diploma</c:v>
                </c:pt>
                <c:pt idx="1">
                  <c:v>H.S. Diploma or Equiv.</c:v>
                </c:pt>
                <c:pt idx="2">
                  <c:v>Some College</c:v>
                </c:pt>
                <c:pt idx="3">
                  <c:v>AA/AS</c:v>
                </c:pt>
                <c:pt idx="4">
                  <c:v>BA/BS</c:v>
                </c:pt>
                <c:pt idx="5">
                  <c:v>Graduate or Prof.</c:v>
                </c:pt>
              </c:strCache>
            </c:strRef>
          </c:cat>
          <c:val>
            <c:numRef>
              <c:f>'Ed Attainment'!$B$13:$B$18</c:f>
              <c:numCache>
                <c:formatCode>_(* #,##0_);_(* \(#,##0\);_(* "-"??_);_(@_)</c:formatCode>
                <c:ptCount val="6"/>
                <c:pt idx="0">
                  <c:v>138996.04999999999</c:v>
                </c:pt>
                <c:pt idx="1">
                  <c:v>154714.98899999997</c:v>
                </c:pt>
                <c:pt idx="2">
                  <c:v>143041.81600000002</c:v>
                </c:pt>
                <c:pt idx="3">
                  <c:v>45298.492999999995</c:v>
                </c:pt>
                <c:pt idx="4">
                  <c:v>66647.198000000004</c:v>
                </c:pt>
                <c:pt idx="5">
                  <c:v>40659.655000000006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2790901137357857E-3"/>
          <c:y val="3.4780548264800358E-3"/>
          <c:w val="0.98383202099737477"/>
          <c:h val="9.9346617042644594E-2"/>
        </c:manualLayout>
      </c:layout>
      <c:overlay val="0"/>
    </c:legend>
    <c:plotVisOnly val="1"/>
    <c:dispBlanksAs val="zero"/>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645742247142999E-2"/>
          <c:y val="0"/>
          <c:w val="0.98598831664903563"/>
          <c:h val="1"/>
        </c:manualLayout>
      </c:layout>
      <c:pie3DChart>
        <c:varyColors val="1"/>
        <c:ser>
          <c:idx val="0"/>
          <c:order val="0"/>
          <c:dLbls>
            <c:showLegendKey val="0"/>
            <c:showVal val="1"/>
            <c:showCatName val="0"/>
            <c:showSerName val="0"/>
            <c:showPercent val="1"/>
            <c:showBubbleSize val="0"/>
            <c:separator>
</c:separator>
            <c:showLeaderLines val="1"/>
          </c:dLbls>
          <c:cat>
            <c:strRef>
              <c:f>'Regional Pop. by Edu.'!$A$24:$A$29</c:f>
              <c:strCache>
                <c:ptCount val="6"/>
                <c:pt idx="0">
                  <c:v>No HS</c:v>
                </c:pt>
                <c:pt idx="1">
                  <c:v>HS Diploma or Equivalent</c:v>
                </c:pt>
                <c:pt idx="2">
                  <c:v>Some College</c:v>
                </c:pt>
                <c:pt idx="3">
                  <c:v>AA/AS</c:v>
                </c:pt>
                <c:pt idx="4">
                  <c:v>BA/BS</c:v>
                </c:pt>
                <c:pt idx="5">
                  <c:v>Graduate or Professor</c:v>
                </c:pt>
              </c:strCache>
            </c:strRef>
          </c:cat>
          <c:val>
            <c:numRef>
              <c:f>'Regional Pop. by Edu.'!$B$24:$B$29</c:f>
              <c:numCache>
                <c:formatCode>_(* #,##0_);_(* \(#,##0\);_(* "-"??_);_(@_)</c:formatCode>
                <c:ptCount val="6"/>
                <c:pt idx="0">
                  <c:v>581695.6</c:v>
                </c:pt>
                <c:pt idx="1">
                  <c:v>689898.2</c:v>
                </c:pt>
                <c:pt idx="2">
                  <c:v>675867.6</c:v>
                </c:pt>
                <c:pt idx="3">
                  <c:v>205877.2</c:v>
                </c:pt>
                <c:pt idx="4">
                  <c:v>333255.2</c:v>
                </c:pt>
                <c:pt idx="5">
                  <c:v>178027.8</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44985577031362"/>
          <c:y val="0.11744734652070928"/>
          <c:w val="0.74461428769763294"/>
          <c:h val="0.77656424044555405"/>
        </c:manualLayout>
      </c:layout>
      <c:pie3DChart>
        <c:varyColors val="1"/>
        <c:ser>
          <c:idx val="0"/>
          <c:order val="0"/>
          <c:dLbls>
            <c:showLegendKey val="0"/>
            <c:showVal val="1"/>
            <c:showCatName val="0"/>
            <c:showSerName val="0"/>
            <c:showPercent val="1"/>
            <c:showBubbleSize val="0"/>
            <c:separator>
</c:separator>
            <c:showLeaderLines val="1"/>
          </c:dLbls>
          <c:cat>
            <c:strRef>
              <c:f>'CA - Pop. by Edu. Attainment'!$A$23:$A$28</c:f>
              <c:strCache>
                <c:ptCount val="6"/>
                <c:pt idx="0">
                  <c:v>No HS</c:v>
                </c:pt>
                <c:pt idx="1">
                  <c:v>HS Diploma or Equivalent</c:v>
                </c:pt>
                <c:pt idx="2">
                  <c:v>Some College</c:v>
                </c:pt>
                <c:pt idx="3">
                  <c:v>AA/AS</c:v>
                </c:pt>
                <c:pt idx="4">
                  <c:v>BA/BS</c:v>
                </c:pt>
                <c:pt idx="5">
                  <c:v>Graduate or Professor</c:v>
                </c:pt>
              </c:strCache>
            </c:strRef>
          </c:cat>
          <c:val>
            <c:numRef>
              <c:f>'CA - Pop. by Edu. Attainment'!$B$23:$B$28</c:f>
              <c:numCache>
                <c:formatCode>_(* #,##0_);_(* \(#,##0\);_(* "-"??_);_(@_)</c:formatCode>
                <c:ptCount val="6"/>
                <c:pt idx="0">
                  <c:v>4775699</c:v>
                </c:pt>
                <c:pt idx="1">
                  <c:v>5179020.2</c:v>
                </c:pt>
                <c:pt idx="2">
                  <c:v>5432362.2000000002</c:v>
                </c:pt>
                <c:pt idx="3">
                  <c:v>1907854</c:v>
                </c:pt>
                <c:pt idx="4">
                  <c:v>4763862.6000000006</c:v>
                </c:pt>
                <c:pt idx="5">
                  <c:v>2713755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290901137357772E-3"/>
          <c:y val="3.4780548264800402E-3"/>
          <c:w val="0.97297090988626356"/>
          <c:h val="9.8152221592528191E-2"/>
        </c:manualLayout>
      </c:layout>
      <c:overlay val="0"/>
    </c:legend>
    <c:plotVisOnly val="1"/>
    <c:dispBlanksAs val="zero"/>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6580436791655"/>
          <c:y val="9.9723093352586112E-2"/>
          <c:w val="0.87257168696609566"/>
          <c:h val="0.76479129948328683"/>
        </c:manualLayout>
      </c:layout>
      <c:barChart>
        <c:barDir val="col"/>
        <c:grouping val="clustered"/>
        <c:varyColors val="0"/>
        <c:ser>
          <c:idx val="0"/>
          <c:order val="0"/>
          <c:tx>
            <c:v>Service Area</c:v>
          </c:tx>
          <c:invertIfNegative val="0"/>
          <c:dLbls>
            <c:txPr>
              <a:bodyPr rot="5400000" vert="horz"/>
              <a:lstStyle/>
              <a:p>
                <a:pPr>
                  <a:defRPr>
                    <a:solidFill>
                      <a:schemeClr val="bg1"/>
                    </a:solidFill>
                  </a:defRPr>
                </a:pPr>
                <a:endParaRPr lang="en-US"/>
              </a:p>
            </c:txPr>
            <c:dLblPos val="ctr"/>
            <c:showLegendKey val="0"/>
            <c:showVal val="1"/>
            <c:showCatName val="0"/>
            <c:showSerName val="0"/>
            <c:showPercent val="0"/>
            <c:showBubbleSize val="0"/>
            <c:showLeaderLines val="0"/>
          </c:dLbls>
          <c:cat>
            <c:strRef>
              <c:f>'Ed Attainment'!$A$35:$A$40</c:f>
              <c:strCache>
                <c:ptCount val="6"/>
                <c:pt idx="0">
                  <c:v>Population Age 25+</c:v>
                </c:pt>
                <c:pt idx="1">
                  <c:v>No H.S. Diploma</c:v>
                </c:pt>
                <c:pt idx="2">
                  <c:v>H.S. Diploma or Equiv.</c:v>
                </c:pt>
                <c:pt idx="3">
                  <c:v>Some College or AA/AS</c:v>
                </c:pt>
                <c:pt idx="4">
                  <c:v>BA/BS</c:v>
                </c:pt>
                <c:pt idx="5">
                  <c:v>Graduate or Prof.</c:v>
                </c:pt>
              </c:strCache>
            </c:strRef>
          </c:cat>
          <c:val>
            <c:numRef>
              <c:f>'Ed Attainment'!$D$27:$D$32</c:f>
              <c:numCache>
                <c:formatCode>_("$"* #,##0_);_("$"* \(#,##0\);_("$"* "-"??_);_(@_)</c:formatCode>
                <c:ptCount val="6"/>
                <c:pt idx="0">
                  <c:v>35687</c:v>
                </c:pt>
                <c:pt idx="1">
                  <c:v>25402.560000000001</c:v>
                </c:pt>
                <c:pt idx="2">
                  <c:v>29684.36</c:v>
                </c:pt>
                <c:pt idx="3">
                  <c:v>35491.360000000001</c:v>
                </c:pt>
                <c:pt idx="4">
                  <c:v>50064.68</c:v>
                </c:pt>
                <c:pt idx="5">
                  <c:v>61757.08</c:v>
                </c:pt>
              </c:numCache>
            </c:numRef>
          </c:val>
        </c:ser>
        <c:ser>
          <c:idx val="1"/>
          <c:order val="1"/>
          <c:tx>
            <c:v>Region</c:v>
          </c:tx>
          <c:invertIfNegative val="0"/>
          <c:dLbls>
            <c:txPr>
              <a:bodyPr rot="5400000" vert="horz"/>
              <a:lstStyle/>
              <a:p>
                <a:pPr>
                  <a:defRPr>
                    <a:solidFill>
                      <a:schemeClr val="bg1"/>
                    </a:solidFill>
                  </a:defRPr>
                </a:pPr>
                <a:endParaRPr lang="en-US"/>
              </a:p>
            </c:txPr>
            <c:dLblPos val="ctr"/>
            <c:showLegendKey val="0"/>
            <c:showVal val="1"/>
            <c:showCatName val="0"/>
            <c:showSerName val="0"/>
            <c:showPercent val="0"/>
            <c:showBubbleSize val="0"/>
            <c:showLeaderLines val="0"/>
          </c:dLbls>
          <c:val>
            <c:numRef>
              <c:f>'Ed Attainment'!$B$35:$B$40</c:f>
              <c:numCache>
                <c:formatCode>_("$"* #,##0_);_("$"* \(#,##0\);_("$"* "-"??_);_(@_)</c:formatCode>
                <c:ptCount val="6"/>
                <c:pt idx="0">
                  <c:v>33851</c:v>
                </c:pt>
                <c:pt idx="1">
                  <c:v>20917</c:v>
                </c:pt>
                <c:pt idx="2">
                  <c:v>29151</c:v>
                </c:pt>
                <c:pt idx="3">
                  <c:v>36676</c:v>
                </c:pt>
                <c:pt idx="4">
                  <c:v>51666</c:v>
                </c:pt>
                <c:pt idx="5">
                  <c:v>71176</c:v>
                </c:pt>
              </c:numCache>
            </c:numRef>
          </c:val>
        </c:ser>
        <c:ser>
          <c:idx val="2"/>
          <c:order val="2"/>
          <c:tx>
            <c:v>California</c:v>
          </c:tx>
          <c:invertIfNegative val="0"/>
          <c:dLbls>
            <c:txPr>
              <a:bodyPr rot="5400000" vert="horz"/>
              <a:lstStyle/>
              <a:p>
                <a:pPr>
                  <a:defRPr>
                    <a:solidFill>
                      <a:schemeClr val="bg1"/>
                    </a:solidFill>
                  </a:defRPr>
                </a:pPr>
                <a:endParaRPr lang="en-US"/>
              </a:p>
            </c:txPr>
            <c:dLblPos val="ctr"/>
            <c:showLegendKey val="0"/>
            <c:showVal val="1"/>
            <c:showCatName val="0"/>
            <c:showSerName val="0"/>
            <c:showPercent val="0"/>
            <c:showBubbleSize val="0"/>
            <c:showLeaderLines val="0"/>
          </c:dLbls>
          <c:val>
            <c:numRef>
              <c:f>'Ed Attainment'!$B$43:$B$48</c:f>
              <c:numCache>
                <c:formatCode>_("$"* #,##0_);_("$"* \(#,##0\);_("$"* "-"??_);_(@_)</c:formatCode>
                <c:ptCount val="6"/>
                <c:pt idx="0">
                  <c:v>37170</c:v>
                </c:pt>
                <c:pt idx="1">
                  <c:v>19270</c:v>
                </c:pt>
                <c:pt idx="2">
                  <c:v>27984</c:v>
                </c:pt>
                <c:pt idx="3">
                  <c:v>36665</c:v>
                </c:pt>
                <c:pt idx="4">
                  <c:v>55734</c:v>
                </c:pt>
                <c:pt idx="5">
                  <c:v>79293</c:v>
                </c:pt>
              </c:numCache>
            </c:numRef>
          </c:val>
        </c:ser>
        <c:dLbls>
          <c:showLegendKey val="0"/>
          <c:showVal val="0"/>
          <c:showCatName val="0"/>
          <c:showSerName val="0"/>
          <c:showPercent val="0"/>
          <c:showBubbleSize val="0"/>
        </c:dLbls>
        <c:gapWidth val="150"/>
        <c:axId val="185880064"/>
        <c:axId val="185946624"/>
      </c:barChart>
      <c:catAx>
        <c:axId val="185880064"/>
        <c:scaling>
          <c:orientation val="minMax"/>
        </c:scaling>
        <c:delete val="0"/>
        <c:axPos val="b"/>
        <c:majorGridlines/>
        <c:majorTickMark val="out"/>
        <c:minorTickMark val="none"/>
        <c:tickLblPos val="nextTo"/>
        <c:crossAx val="185946624"/>
        <c:crosses val="autoZero"/>
        <c:auto val="1"/>
        <c:lblAlgn val="ctr"/>
        <c:lblOffset val="100"/>
        <c:noMultiLvlLbl val="0"/>
      </c:catAx>
      <c:valAx>
        <c:axId val="185946624"/>
        <c:scaling>
          <c:orientation val="minMax"/>
        </c:scaling>
        <c:delete val="0"/>
        <c:axPos val="l"/>
        <c:numFmt formatCode="_(&quot;$&quot;* #,##0_);_(&quot;$&quot;* \(#,##0\);_(&quot;$&quot;* &quot;-&quot;??_);_(@_)" sourceLinked="1"/>
        <c:majorTickMark val="out"/>
        <c:minorTickMark val="none"/>
        <c:tickLblPos val="nextTo"/>
        <c:crossAx val="185880064"/>
        <c:crosses val="autoZero"/>
        <c:crossBetween val="between"/>
      </c:valAx>
    </c:plotArea>
    <c:legend>
      <c:legendPos val="r"/>
      <c:layout>
        <c:manualLayout>
          <c:xMode val="edge"/>
          <c:yMode val="edge"/>
          <c:x val="0.10005613761089781"/>
          <c:y val="2.8677360888628226E-3"/>
          <c:w val="0.80077030867009458"/>
          <c:h val="7.3538644345674559E-2"/>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196468906065455"/>
          <c:y val="3.2407407407407413E-2"/>
          <c:w val="0.58641352954758552"/>
          <c:h val="0.85161271507728198"/>
        </c:manualLayout>
      </c:layout>
      <c:barChart>
        <c:barDir val="bar"/>
        <c:grouping val="stacked"/>
        <c:varyColors val="0"/>
        <c:ser>
          <c:idx val="0"/>
          <c:order val="0"/>
          <c:invertIfNegative val="0"/>
          <c:dLbls>
            <c:dLbl>
              <c:idx val="0"/>
              <c:layout>
                <c:manualLayout>
                  <c:x val="0.1972222222222223"/>
                  <c:y val="0"/>
                </c:manualLayout>
              </c:layout>
              <c:showLegendKey val="0"/>
              <c:showVal val="1"/>
              <c:showCatName val="0"/>
              <c:showSerName val="0"/>
              <c:showPercent val="0"/>
              <c:showBubbleSize val="0"/>
            </c:dLbl>
            <c:dLbl>
              <c:idx val="1"/>
              <c:layout>
                <c:manualLayout>
                  <c:x val="0.28380704656083161"/>
                  <c:y val="8.4875562720133493E-17"/>
                </c:manualLayout>
              </c:layout>
              <c:showLegendKey val="0"/>
              <c:showVal val="1"/>
              <c:showCatName val="0"/>
              <c:showSerName val="0"/>
              <c:showPercent val="0"/>
              <c:showBubbleSize val="0"/>
            </c:dLbl>
            <c:dLbl>
              <c:idx val="2"/>
              <c:layout>
                <c:manualLayout>
                  <c:x val="4.1666666666666671E-2"/>
                  <c:y val="0"/>
                </c:manualLayout>
              </c:layout>
              <c:showLegendKey val="0"/>
              <c:showVal val="1"/>
              <c:showCatName val="0"/>
              <c:showSerName val="0"/>
              <c:showPercent val="0"/>
              <c:showBubbleSize val="0"/>
            </c:dLbl>
            <c:dLbl>
              <c:idx val="3"/>
              <c:layout>
                <c:manualLayout>
                  <c:x val="8.333333333333337E-2"/>
                  <c:y val="0"/>
                </c:manualLayout>
              </c:layout>
              <c:showLegendKey val="0"/>
              <c:showVal val="1"/>
              <c:showCatName val="0"/>
              <c:showSerName val="0"/>
              <c:showPercent val="0"/>
              <c:showBubbleSize val="0"/>
            </c:dLbl>
            <c:dLbl>
              <c:idx val="4"/>
              <c:layout>
                <c:manualLayout>
                  <c:x val="6.3888888888888884E-2"/>
                  <c:y val="4.2437781360066925E-17"/>
                </c:manualLayout>
              </c:layout>
              <c:showLegendKey val="0"/>
              <c:showVal val="1"/>
              <c:showCatName val="0"/>
              <c:showSerName val="0"/>
              <c:showPercent val="0"/>
              <c:showBubbleSize val="0"/>
            </c:dLbl>
            <c:dLbl>
              <c:idx val="5"/>
              <c:layout>
                <c:manualLayout>
                  <c:x val="0.12777777777777777"/>
                  <c:y val="0"/>
                </c:manualLayout>
              </c:layout>
              <c:showLegendKey val="0"/>
              <c:showVal val="1"/>
              <c:showCatName val="0"/>
              <c:showSerName val="0"/>
              <c:showPercent val="0"/>
              <c:showBubbleSize val="0"/>
            </c:dLbl>
            <c:dLbl>
              <c:idx val="6"/>
              <c:layout>
                <c:manualLayout>
                  <c:x val="3.8888888888888952E-2"/>
                  <c:y val="-2.1218890680033463E-17"/>
                </c:manualLayout>
              </c:layout>
              <c:showLegendKey val="0"/>
              <c:showVal val="1"/>
              <c:showCatName val="0"/>
              <c:showSerName val="0"/>
              <c:showPercent val="0"/>
              <c:showBubbleSize val="0"/>
            </c:dLbl>
            <c:dLbl>
              <c:idx val="7"/>
              <c:layout>
                <c:manualLayout>
                  <c:x val="5.5555555555555483E-2"/>
                  <c:y val="0"/>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'Service Area Occupations'!$A$2:$A$9</c:f>
              <c:strCache>
                <c:ptCount val="8"/>
                <c:pt idx="0">
                  <c:v>Less than H.S.</c:v>
                </c:pt>
                <c:pt idx="1">
                  <c:v>H.S. Diploma or Equiv.</c:v>
                </c:pt>
                <c:pt idx="2">
                  <c:v>Some College</c:v>
                </c:pt>
                <c:pt idx="3">
                  <c:v>Postsecondary Non-Degree Award</c:v>
                </c:pt>
                <c:pt idx="4">
                  <c:v>Associate's Degree</c:v>
                </c:pt>
                <c:pt idx="5">
                  <c:v>Bachelor's Degree</c:v>
                </c:pt>
                <c:pt idx="6">
                  <c:v>Master's Degree</c:v>
                </c:pt>
                <c:pt idx="7">
                  <c:v>Doctoral or Professional Degree</c:v>
                </c:pt>
              </c:strCache>
            </c:strRef>
          </c:cat>
          <c:val>
            <c:numRef>
              <c:f>'Service Area Occupations'!$B$2:$B$9</c:f>
              <c:numCache>
                <c:formatCode>0</c:formatCode>
                <c:ptCount val="8"/>
                <c:pt idx="0" formatCode="#,##0;[Red]\ \(#,##0\)">
                  <c:v>2002.0000000000002</c:v>
                </c:pt>
                <c:pt idx="1">
                  <c:v>3017.7000000000003</c:v>
                </c:pt>
                <c:pt idx="2" formatCode="#,##0;[Red]\ \(#,##0\)">
                  <c:v>123.19999999999999</c:v>
                </c:pt>
                <c:pt idx="3" formatCode="#,##0;[Red]\ \(#,##0\)">
                  <c:v>765.3</c:v>
                </c:pt>
                <c:pt idx="4" formatCode="#,##0;[Red]\ \(#,##0\)">
                  <c:v>451.29999999999984</c:v>
                </c:pt>
                <c:pt idx="5" formatCode="#,##0;[Red]\ \(#,##0\)">
                  <c:v>1207.5000000000005</c:v>
                </c:pt>
                <c:pt idx="6" formatCode="#,##0;[Red]\ \(#,##0\)">
                  <c:v>173.9</c:v>
                </c:pt>
                <c:pt idx="7" formatCode="#,##0;[Red]\ \(#,##0\)">
                  <c:v>284.89999999999986</c:v>
                </c:pt>
              </c:numCache>
            </c:numRef>
          </c:val>
        </c:ser>
        <c:dLbls>
          <c:showLegendKey val="0"/>
          <c:showVal val="0"/>
          <c:showCatName val="0"/>
          <c:showSerName val="0"/>
          <c:showPercent val="0"/>
          <c:showBubbleSize val="0"/>
        </c:dLbls>
        <c:gapWidth val="150"/>
        <c:overlap val="100"/>
        <c:axId val="186089472"/>
        <c:axId val="185948928"/>
      </c:barChart>
      <c:catAx>
        <c:axId val="186089472"/>
        <c:scaling>
          <c:orientation val="minMax"/>
        </c:scaling>
        <c:delete val="0"/>
        <c:axPos val="l"/>
        <c:majorTickMark val="out"/>
        <c:minorTickMark val="none"/>
        <c:tickLblPos val="nextTo"/>
        <c:crossAx val="185948928"/>
        <c:crosses val="autoZero"/>
        <c:auto val="1"/>
        <c:lblAlgn val="ctr"/>
        <c:lblOffset val="100"/>
        <c:noMultiLvlLbl val="0"/>
      </c:catAx>
      <c:valAx>
        <c:axId val="185948928"/>
        <c:scaling>
          <c:orientation val="minMax"/>
        </c:scaling>
        <c:delete val="0"/>
        <c:axPos val="b"/>
        <c:numFmt formatCode="#,##0;[Red]\ \(#,##0\)" sourceLinked="1"/>
        <c:majorTickMark val="out"/>
        <c:minorTickMark val="none"/>
        <c:tickLblPos val="nextTo"/>
        <c:crossAx val="186089472"/>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0.28173258003766488"/>
                  <c:y val="8.4875562720133493E-17"/>
                </c:manualLayout>
              </c:layout>
              <c:showLegendKey val="0"/>
              <c:showVal val="1"/>
              <c:showCatName val="0"/>
              <c:showSerName val="0"/>
              <c:showPercent val="0"/>
              <c:showBubbleSize val="0"/>
            </c:dLbl>
            <c:dLbl>
              <c:idx val="2"/>
              <c:layout>
                <c:manualLayout>
                  <c:x val="0.05"/>
                  <c:y val="0"/>
                </c:manualLayout>
              </c:layout>
              <c:showLegendKey val="0"/>
              <c:showVal val="1"/>
              <c:showCatName val="0"/>
              <c:showSerName val="0"/>
              <c:showPercent val="0"/>
              <c:showBubbleSize val="0"/>
            </c:dLbl>
            <c:dLbl>
              <c:idx val="3"/>
              <c:layout>
                <c:manualLayout>
                  <c:x val="8.8888888888888976E-2"/>
                  <c:y val="0"/>
                </c:manualLayout>
              </c:layout>
              <c:showLegendKey val="0"/>
              <c:showVal val="1"/>
              <c:showCatName val="0"/>
              <c:showSerName val="0"/>
              <c:showPercent val="0"/>
              <c:showBubbleSize val="0"/>
            </c:dLbl>
            <c:dLbl>
              <c:idx val="4"/>
              <c:layout>
                <c:manualLayout>
                  <c:x val="0.10833333333333336"/>
                  <c:y val="4.6296296296296337E-3"/>
                </c:manualLayout>
              </c:layout>
              <c:showLegendKey val="0"/>
              <c:showVal val="1"/>
              <c:showCatName val="0"/>
              <c:showSerName val="0"/>
              <c:showPercent val="0"/>
              <c:showBubbleSize val="0"/>
            </c:dLbl>
            <c:dLbl>
              <c:idx val="5"/>
              <c:layout>
                <c:manualLayout>
                  <c:x val="0.23611111111111124"/>
                  <c:y val="-4.6296296296296337E-3"/>
                </c:manualLayout>
              </c:layout>
              <c:showLegendKey val="0"/>
              <c:showVal val="1"/>
              <c:showCatName val="0"/>
              <c:showSerName val="0"/>
              <c:showPercent val="0"/>
              <c:showBubbleSize val="0"/>
            </c:dLbl>
            <c:dLbl>
              <c:idx val="6"/>
              <c:layout>
                <c:manualLayout>
                  <c:x val="6.3888888888888884E-2"/>
                  <c:y val="-2.1218890680033435E-17"/>
                </c:manualLayout>
              </c:layout>
              <c:showLegendKey val="0"/>
              <c:showVal val="1"/>
              <c:showCatName val="0"/>
              <c:showSerName val="0"/>
              <c:showPercent val="0"/>
              <c:showBubbleSize val="0"/>
            </c:dLbl>
            <c:dLbl>
              <c:idx val="7"/>
              <c:layout>
                <c:manualLayout>
                  <c:x val="5.55555555555554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'Service Area Occupations'!$A$17:$A$24</c:f>
              <c:strCache>
                <c:ptCount val="8"/>
                <c:pt idx="0">
                  <c:v>Less than H.S.</c:v>
                </c:pt>
                <c:pt idx="1">
                  <c:v>H.S. Diploma or Equiv.</c:v>
                </c:pt>
                <c:pt idx="2">
                  <c:v>Some College</c:v>
                </c:pt>
                <c:pt idx="3">
                  <c:v>Postsecondary Non-Degree Award</c:v>
                </c:pt>
                <c:pt idx="4">
                  <c:v>Associate's Degree</c:v>
                </c:pt>
                <c:pt idx="5">
                  <c:v>Bachelor's Degree</c:v>
                </c:pt>
                <c:pt idx="6">
                  <c:v>Master's Degree</c:v>
                </c:pt>
                <c:pt idx="7">
                  <c:v>Doctoral or Professional Degree</c:v>
                </c:pt>
              </c:strCache>
            </c:strRef>
          </c:cat>
          <c:val>
            <c:numRef>
              <c:f>'Service Area Occupations'!$B$17:$B$24</c:f>
              <c:numCache>
                <c:formatCode>#,##0;[Red]\ \(#,##0\)</c:formatCode>
                <c:ptCount val="8"/>
                <c:pt idx="0" formatCode="General">
                  <c:v>0</c:v>
                </c:pt>
                <c:pt idx="1">
                  <c:v>1260.3000000000006</c:v>
                </c:pt>
                <c:pt idx="2">
                  <c:v>119.9</c:v>
                </c:pt>
                <c:pt idx="3" formatCode="General">
                  <c:v>308</c:v>
                </c:pt>
                <c:pt idx="4">
                  <c:v>376.4</c:v>
                </c:pt>
                <c:pt idx="5">
                  <c:v>1022.2000000000005</c:v>
                </c:pt>
                <c:pt idx="6" formatCode="0">
                  <c:v>158.79999999999998</c:v>
                </c:pt>
                <c:pt idx="7">
                  <c:v>163.4</c:v>
                </c:pt>
              </c:numCache>
            </c:numRef>
          </c:val>
        </c:ser>
        <c:dLbls>
          <c:showLegendKey val="0"/>
          <c:showVal val="0"/>
          <c:showCatName val="0"/>
          <c:showSerName val="0"/>
          <c:showPercent val="0"/>
          <c:showBubbleSize val="0"/>
        </c:dLbls>
        <c:gapWidth val="150"/>
        <c:overlap val="100"/>
        <c:axId val="186090496"/>
        <c:axId val="186188352"/>
      </c:barChart>
      <c:catAx>
        <c:axId val="186090496"/>
        <c:scaling>
          <c:orientation val="minMax"/>
        </c:scaling>
        <c:delete val="0"/>
        <c:axPos val="l"/>
        <c:majorTickMark val="out"/>
        <c:minorTickMark val="none"/>
        <c:tickLblPos val="nextTo"/>
        <c:crossAx val="186188352"/>
        <c:crosses val="autoZero"/>
        <c:auto val="1"/>
        <c:lblAlgn val="ctr"/>
        <c:lblOffset val="100"/>
        <c:noMultiLvlLbl val="0"/>
      </c:catAx>
      <c:valAx>
        <c:axId val="186188352"/>
        <c:scaling>
          <c:orientation val="minMax"/>
        </c:scaling>
        <c:delete val="0"/>
        <c:axPos val="b"/>
        <c:numFmt formatCode="#,##0" sourceLinked="0"/>
        <c:majorTickMark val="out"/>
        <c:minorTickMark val="none"/>
        <c:tickLblPos val="nextTo"/>
        <c:crossAx val="186090496"/>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invertIfNegative val="0"/>
          <c:dLbls>
            <c:dLbl>
              <c:idx val="0"/>
              <c:layout>
                <c:manualLayout>
                  <c:x val="0.19722222222222238"/>
                  <c:y val="0"/>
                </c:manualLayout>
              </c:layout>
              <c:showLegendKey val="0"/>
              <c:showVal val="1"/>
              <c:showCatName val="0"/>
              <c:showSerName val="0"/>
              <c:showPercent val="0"/>
              <c:showBubbleSize val="0"/>
            </c:dLbl>
            <c:dLbl>
              <c:idx val="1"/>
              <c:layout>
                <c:manualLayout>
                  <c:x val="0.27777777777777796"/>
                  <c:y val="8.4875562720133493E-17"/>
                </c:manualLayout>
              </c:layout>
              <c:showLegendKey val="0"/>
              <c:showVal val="1"/>
              <c:showCatName val="0"/>
              <c:showSerName val="0"/>
              <c:showPercent val="0"/>
              <c:showBubbleSize val="0"/>
            </c:dLbl>
            <c:dLbl>
              <c:idx val="2"/>
              <c:layout>
                <c:manualLayout>
                  <c:x val="5.2777777777777792E-2"/>
                  <c:y val="0"/>
                </c:manualLayout>
              </c:layout>
              <c:showLegendKey val="0"/>
              <c:showVal val="1"/>
              <c:showCatName val="0"/>
              <c:showSerName val="0"/>
              <c:showPercent val="0"/>
              <c:showBubbleSize val="0"/>
            </c:dLbl>
            <c:dLbl>
              <c:idx val="3"/>
              <c:layout>
                <c:manualLayout>
                  <c:x val="8.6111111111111069E-2"/>
                  <c:y val="0"/>
                </c:manualLayout>
              </c:layout>
              <c:showLegendKey val="0"/>
              <c:showVal val="1"/>
              <c:showCatName val="0"/>
              <c:showSerName val="0"/>
              <c:showPercent val="0"/>
              <c:showBubbleSize val="0"/>
            </c:dLbl>
            <c:dLbl>
              <c:idx val="4"/>
              <c:layout>
                <c:manualLayout>
                  <c:x val="7.7777777777777779E-2"/>
                  <c:y val="4.243778136006674E-17"/>
                </c:manualLayout>
              </c:layout>
              <c:showLegendKey val="0"/>
              <c:showVal val="1"/>
              <c:showCatName val="0"/>
              <c:showSerName val="0"/>
              <c:showPercent val="0"/>
              <c:showBubbleSize val="0"/>
            </c:dLbl>
            <c:dLbl>
              <c:idx val="5"/>
              <c:layout>
                <c:manualLayout>
                  <c:x val="0.125"/>
                  <c:y val="0"/>
                </c:manualLayout>
              </c:layout>
              <c:showLegendKey val="0"/>
              <c:showVal val="1"/>
              <c:showCatName val="0"/>
              <c:showSerName val="0"/>
              <c:showPercent val="0"/>
              <c:showBubbleSize val="0"/>
            </c:dLbl>
            <c:dLbl>
              <c:idx val="6"/>
              <c:layout>
                <c:manualLayout>
                  <c:x val="4.4444444444444467E-2"/>
                  <c:y val="-3.6453776611256962E-7"/>
                </c:manualLayout>
              </c:layout>
              <c:showLegendKey val="0"/>
              <c:showVal val="1"/>
              <c:showCatName val="0"/>
              <c:showSerName val="0"/>
              <c:showPercent val="0"/>
              <c:showBubbleSize val="0"/>
            </c:dLbl>
            <c:dLbl>
              <c:idx val="7"/>
              <c:layout>
                <c:manualLayout>
                  <c:x val="6.666666666666668E-2"/>
                  <c:y val="0"/>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'Region Occupation'!$A$2:$A$9</c:f>
              <c:strCache>
                <c:ptCount val="8"/>
                <c:pt idx="0">
                  <c:v>Less than H.S.</c:v>
                </c:pt>
                <c:pt idx="1">
                  <c:v>H.S. Diploma or Equiv.</c:v>
                </c:pt>
                <c:pt idx="2">
                  <c:v>Some College</c:v>
                </c:pt>
                <c:pt idx="3">
                  <c:v>Postsecondary Non-Degree Award</c:v>
                </c:pt>
                <c:pt idx="4">
                  <c:v>Associate's Degree</c:v>
                </c:pt>
                <c:pt idx="5">
                  <c:v>Bachelor's Degree</c:v>
                </c:pt>
                <c:pt idx="6">
                  <c:v>Master's Degree</c:v>
                </c:pt>
                <c:pt idx="7">
                  <c:v>Doctoral or Professional Degree</c:v>
                </c:pt>
              </c:strCache>
            </c:strRef>
          </c:cat>
          <c:val>
            <c:numRef>
              <c:f>'Region Occupation'!$B$2:$B$9</c:f>
              <c:numCache>
                <c:formatCode>General</c:formatCode>
                <c:ptCount val="8"/>
                <c:pt idx="0">
                  <c:v>11598</c:v>
                </c:pt>
                <c:pt idx="1">
                  <c:v>18170</c:v>
                </c:pt>
                <c:pt idx="2">
                  <c:v>584</c:v>
                </c:pt>
                <c:pt idx="3">
                  <c:v>3533</c:v>
                </c:pt>
                <c:pt idx="4">
                  <c:v>1939</c:v>
                </c:pt>
                <c:pt idx="5">
                  <c:v>6447</c:v>
                </c:pt>
                <c:pt idx="6">
                  <c:v>728</c:v>
                </c:pt>
                <c:pt idx="7">
                  <c:v>1182</c:v>
                </c:pt>
              </c:numCache>
            </c:numRef>
          </c:val>
        </c:ser>
        <c:dLbls>
          <c:showLegendKey val="0"/>
          <c:showVal val="0"/>
          <c:showCatName val="0"/>
          <c:showSerName val="0"/>
          <c:showPercent val="0"/>
          <c:showBubbleSize val="0"/>
        </c:dLbls>
        <c:gapWidth val="150"/>
        <c:overlap val="100"/>
        <c:axId val="186091008"/>
        <c:axId val="186189504"/>
      </c:barChart>
      <c:catAx>
        <c:axId val="186091008"/>
        <c:scaling>
          <c:orientation val="minMax"/>
        </c:scaling>
        <c:delete val="0"/>
        <c:axPos val="l"/>
        <c:majorTickMark val="out"/>
        <c:minorTickMark val="none"/>
        <c:tickLblPos val="nextTo"/>
        <c:crossAx val="186189504"/>
        <c:crosses val="autoZero"/>
        <c:auto val="1"/>
        <c:lblAlgn val="ctr"/>
        <c:lblOffset val="100"/>
        <c:noMultiLvlLbl val="0"/>
      </c:catAx>
      <c:valAx>
        <c:axId val="186189504"/>
        <c:scaling>
          <c:orientation val="minMax"/>
        </c:scaling>
        <c:delete val="0"/>
        <c:axPos val="b"/>
        <c:numFmt formatCode="General" sourceLinked="1"/>
        <c:majorTickMark val="out"/>
        <c:minorTickMark val="none"/>
        <c:tickLblPos val="nextTo"/>
        <c:crossAx val="1860910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83274504480039E-2"/>
          <c:y val="0.1058695574012153"/>
          <c:w val="0.9048167254955195"/>
          <c:h val="0.77973933052889066"/>
        </c:manualLayout>
      </c:layout>
      <c:barChart>
        <c:barDir val="col"/>
        <c:grouping val="clustered"/>
        <c:varyColors val="0"/>
        <c:ser>
          <c:idx val="0"/>
          <c:order val="0"/>
          <c:tx>
            <c:strRef>
              <c:f>Gender!$A$35</c:f>
              <c:strCache>
                <c:ptCount val="1"/>
                <c:pt idx="0">
                  <c:v>Female</c:v>
                </c:pt>
              </c:strCache>
            </c:strRef>
          </c:tx>
          <c:spPr>
            <a:solidFill>
              <a:schemeClr val="accent2"/>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Gender!$B$34:$F$34</c:f>
              <c:strCache>
                <c:ptCount val="5"/>
                <c:pt idx="0">
                  <c:v>2010-2011</c:v>
                </c:pt>
                <c:pt idx="1">
                  <c:v>2011-2012</c:v>
                </c:pt>
                <c:pt idx="2">
                  <c:v>2012-2013</c:v>
                </c:pt>
                <c:pt idx="3">
                  <c:v>2013-2014</c:v>
                </c:pt>
                <c:pt idx="4">
                  <c:v>2014-2015</c:v>
                </c:pt>
              </c:strCache>
            </c:strRef>
          </c:cat>
          <c:val>
            <c:numRef>
              <c:f>Gender!$B$35:$F$35</c:f>
              <c:numCache>
                <c:formatCode>General</c:formatCode>
                <c:ptCount val="5"/>
                <c:pt idx="0" formatCode="#,##0">
                  <c:v>4487</c:v>
                </c:pt>
                <c:pt idx="1">
                  <c:v>3906</c:v>
                </c:pt>
                <c:pt idx="2">
                  <c:v>3647</c:v>
                </c:pt>
                <c:pt idx="3">
                  <c:v>3923</c:v>
                </c:pt>
                <c:pt idx="4">
                  <c:v>4268</c:v>
                </c:pt>
              </c:numCache>
            </c:numRef>
          </c:val>
        </c:ser>
        <c:ser>
          <c:idx val="1"/>
          <c:order val="1"/>
          <c:tx>
            <c:strRef>
              <c:f>Gender!$A$36</c:f>
              <c:strCache>
                <c:ptCount val="1"/>
                <c:pt idx="0">
                  <c:v>Male</c:v>
                </c:pt>
              </c:strCache>
            </c:strRef>
          </c:tx>
          <c:spPr>
            <a:solidFill>
              <a:schemeClr val="accent1"/>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Gender!$B$34:$F$34</c:f>
              <c:strCache>
                <c:ptCount val="5"/>
                <c:pt idx="0">
                  <c:v>2010-2011</c:v>
                </c:pt>
                <c:pt idx="1">
                  <c:v>2011-2012</c:v>
                </c:pt>
                <c:pt idx="2">
                  <c:v>2012-2013</c:v>
                </c:pt>
                <c:pt idx="3">
                  <c:v>2013-2014</c:v>
                </c:pt>
                <c:pt idx="4">
                  <c:v>2014-2015</c:v>
                </c:pt>
              </c:strCache>
            </c:strRef>
          </c:cat>
          <c:val>
            <c:numRef>
              <c:f>Gender!$B$36:$F$36</c:f>
              <c:numCache>
                <c:formatCode>General</c:formatCode>
                <c:ptCount val="5"/>
                <c:pt idx="0">
                  <c:v>4204</c:v>
                </c:pt>
                <c:pt idx="1">
                  <c:v>3763</c:v>
                </c:pt>
                <c:pt idx="2">
                  <c:v>3438</c:v>
                </c:pt>
                <c:pt idx="3">
                  <c:v>3596</c:v>
                </c:pt>
                <c:pt idx="4">
                  <c:v>3757</c:v>
                </c:pt>
              </c:numCache>
            </c:numRef>
          </c:val>
        </c:ser>
        <c:ser>
          <c:idx val="2"/>
          <c:order val="2"/>
          <c:tx>
            <c:strRef>
              <c:f>Gender!$A$37</c:f>
              <c:strCache>
                <c:ptCount val="1"/>
                <c:pt idx="0">
                  <c:v>Unknown/Other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Gender!$B$34:$F$34</c:f>
              <c:strCache>
                <c:ptCount val="5"/>
                <c:pt idx="0">
                  <c:v>2010-2011</c:v>
                </c:pt>
                <c:pt idx="1">
                  <c:v>2011-2012</c:v>
                </c:pt>
                <c:pt idx="2">
                  <c:v>2012-2013</c:v>
                </c:pt>
                <c:pt idx="3">
                  <c:v>2013-2014</c:v>
                </c:pt>
                <c:pt idx="4">
                  <c:v>2014-2015</c:v>
                </c:pt>
              </c:strCache>
            </c:strRef>
          </c:cat>
          <c:val>
            <c:numRef>
              <c:f>Gender!$B$37:$F$37</c:f>
              <c:numCache>
                <c:formatCode>General</c:formatCode>
                <c:ptCount val="5"/>
                <c:pt idx="0">
                  <c:v>17</c:v>
                </c:pt>
                <c:pt idx="1">
                  <c:v>5</c:v>
                </c:pt>
                <c:pt idx="2">
                  <c:v>11</c:v>
                </c:pt>
                <c:pt idx="3">
                  <c:v>9</c:v>
                </c:pt>
                <c:pt idx="4">
                  <c:v>15</c:v>
                </c:pt>
              </c:numCache>
            </c:numRef>
          </c:val>
        </c:ser>
        <c:dLbls>
          <c:showLegendKey val="0"/>
          <c:showVal val="1"/>
          <c:showCatName val="0"/>
          <c:showSerName val="0"/>
          <c:showPercent val="0"/>
          <c:showBubbleSize val="0"/>
        </c:dLbls>
        <c:gapWidth val="150"/>
        <c:axId val="151445504"/>
        <c:axId val="268073728"/>
      </c:barChart>
      <c:catAx>
        <c:axId val="151445504"/>
        <c:scaling>
          <c:orientation val="minMax"/>
        </c:scaling>
        <c:delete val="0"/>
        <c:axPos val="b"/>
        <c:majorGridlines/>
        <c:numFmt formatCode="General" sourceLinked="0"/>
        <c:majorTickMark val="out"/>
        <c:minorTickMark val="none"/>
        <c:tickLblPos val="nextTo"/>
        <c:crossAx val="268073728"/>
        <c:crosses val="autoZero"/>
        <c:auto val="1"/>
        <c:lblAlgn val="ctr"/>
        <c:lblOffset val="100"/>
        <c:noMultiLvlLbl val="0"/>
      </c:catAx>
      <c:valAx>
        <c:axId val="268073728"/>
        <c:scaling>
          <c:orientation val="minMax"/>
        </c:scaling>
        <c:delete val="0"/>
        <c:axPos val="l"/>
        <c:title>
          <c:tx>
            <c:rich>
              <a:bodyPr rot="-5400000" vert="horz"/>
              <a:lstStyle/>
              <a:p>
                <a:pPr>
                  <a:defRPr/>
                </a:pPr>
                <a:r>
                  <a:rPr lang="en-US"/>
                  <a:t>Unduplicated Enrollment</a:t>
                </a:r>
              </a:p>
            </c:rich>
          </c:tx>
          <c:layout/>
          <c:overlay val="0"/>
        </c:title>
        <c:numFmt formatCode="#,##0" sourceLinked="1"/>
        <c:majorTickMark val="out"/>
        <c:minorTickMark val="none"/>
        <c:tickLblPos val="nextTo"/>
        <c:crossAx val="151445504"/>
        <c:crosses val="autoZero"/>
        <c:crossBetween val="between"/>
      </c:valAx>
    </c:plotArea>
    <c:legend>
      <c:legendPos val="t"/>
      <c:layout>
        <c:manualLayout>
          <c:xMode val="edge"/>
          <c:yMode val="edge"/>
          <c:x val="0.33461620056113678"/>
          <c:y val="0"/>
          <c:w val="0.33076745406824148"/>
          <c:h val="8.2570380757199968E-2"/>
        </c:manualLayout>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69007874015749"/>
          <c:y val="6.6971080669710789E-2"/>
          <c:w val="0.58094774516821757"/>
          <c:h val="0.78050743657042865"/>
        </c:manualLayout>
      </c:layout>
      <c:barChart>
        <c:barDir val="bar"/>
        <c:grouping val="stacked"/>
        <c:varyColors val="0"/>
        <c:ser>
          <c:idx val="0"/>
          <c:order val="0"/>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0.28570708661417321"/>
                  <c:y val="8.4875562720133493E-17"/>
                </c:manualLayout>
              </c:layout>
              <c:showLegendKey val="0"/>
              <c:showVal val="1"/>
              <c:showCatName val="0"/>
              <c:showSerName val="0"/>
              <c:showPercent val="0"/>
              <c:showBubbleSize val="0"/>
            </c:dLbl>
            <c:dLbl>
              <c:idx val="2"/>
              <c:layout>
                <c:manualLayout>
                  <c:x val="4.1666666666666664E-2"/>
                  <c:y val="0"/>
                </c:manualLayout>
              </c:layout>
              <c:showLegendKey val="0"/>
              <c:showVal val="1"/>
              <c:showCatName val="0"/>
              <c:showSerName val="0"/>
              <c:showPercent val="0"/>
              <c:showBubbleSize val="0"/>
            </c:dLbl>
            <c:dLbl>
              <c:idx val="3"/>
              <c:layout>
                <c:manualLayout>
                  <c:x val="8.3333333333333343E-2"/>
                  <c:y val="0"/>
                </c:manualLayout>
              </c:layout>
              <c:showLegendKey val="0"/>
              <c:showVal val="1"/>
              <c:showCatName val="0"/>
              <c:showSerName val="0"/>
              <c:showPercent val="0"/>
              <c:showBubbleSize val="0"/>
            </c:dLbl>
            <c:dLbl>
              <c:idx val="4"/>
              <c:layout>
                <c:manualLayout>
                  <c:x val="9.1666666666666799E-2"/>
                  <c:y val="4.243778136006687E-17"/>
                </c:manualLayout>
              </c:layout>
              <c:showLegendKey val="0"/>
              <c:showVal val="1"/>
              <c:showCatName val="0"/>
              <c:showSerName val="0"/>
              <c:showPercent val="0"/>
              <c:showBubbleSize val="0"/>
            </c:dLbl>
            <c:dLbl>
              <c:idx val="5"/>
              <c:layout>
                <c:manualLayout>
                  <c:x val="0.23954550226676216"/>
                  <c:y val="-4.6296296296296311E-3"/>
                </c:manualLayout>
              </c:layout>
              <c:showLegendKey val="0"/>
              <c:showVal val="1"/>
              <c:showCatName val="0"/>
              <c:showSerName val="0"/>
              <c:showPercent val="0"/>
              <c:showBubbleSize val="0"/>
            </c:dLbl>
            <c:dLbl>
              <c:idx val="6"/>
              <c:layout>
                <c:manualLayout>
                  <c:x val="0.05"/>
                  <c:y val="-2.1218890680033435E-17"/>
                </c:manualLayout>
              </c:layout>
              <c:showLegendKey val="0"/>
              <c:showVal val="1"/>
              <c:showCatName val="0"/>
              <c:showSerName val="0"/>
              <c:showPercent val="0"/>
              <c:showBubbleSize val="0"/>
            </c:dLbl>
            <c:dLbl>
              <c:idx val="7"/>
              <c:layout>
                <c:manualLayout>
                  <c:x val="5.277777777777779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'Regional Occupations'!$A$1:$A$8</c:f>
              <c:strCache>
                <c:ptCount val="8"/>
                <c:pt idx="0">
                  <c:v>Less than H.S.</c:v>
                </c:pt>
                <c:pt idx="1">
                  <c:v>H.S. Diploma or Equiv.</c:v>
                </c:pt>
                <c:pt idx="2">
                  <c:v>Some College</c:v>
                </c:pt>
                <c:pt idx="3">
                  <c:v>Postsecondary Non-Degree Award</c:v>
                </c:pt>
                <c:pt idx="4">
                  <c:v>Associate's Degree</c:v>
                </c:pt>
                <c:pt idx="5">
                  <c:v>Bachelor's Degree</c:v>
                </c:pt>
                <c:pt idx="6">
                  <c:v>Master's Degree</c:v>
                </c:pt>
                <c:pt idx="7">
                  <c:v>Doctoral or Professional Degree</c:v>
                </c:pt>
              </c:strCache>
            </c:strRef>
          </c:cat>
          <c:val>
            <c:numRef>
              <c:f>'Regional Occupations'!$B$1:$B$8</c:f>
              <c:numCache>
                <c:formatCode>#,##0;[Red]\ \(#,##0\)</c:formatCode>
                <c:ptCount val="8"/>
                <c:pt idx="0" formatCode="General">
                  <c:v>0</c:v>
                </c:pt>
                <c:pt idx="1">
                  <c:v>7013</c:v>
                </c:pt>
                <c:pt idx="2">
                  <c:v>548.6</c:v>
                </c:pt>
                <c:pt idx="3">
                  <c:v>1318.8999999999999</c:v>
                </c:pt>
                <c:pt idx="4">
                  <c:v>1592</c:v>
                </c:pt>
                <c:pt idx="5">
                  <c:v>5714.9</c:v>
                </c:pt>
                <c:pt idx="6">
                  <c:v>641.19999999999993</c:v>
                </c:pt>
                <c:pt idx="7">
                  <c:v>709.49999999999989</c:v>
                </c:pt>
              </c:numCache>
            </c:numRef>
          </c:val>
        </c:ser>
        <c:dLbls>
          <c:showLegendKey val="0"/>
          <c:showVal val="0"/>
          <c:showCatName val="0"/>
          <c:showSerName val="0"/>
          <c:showPercent val="0"/>
          <c:showBubbleSize val="0"/>
        </c:dLbls>
        <c:gapWidth val="150"/>
        <c:overlap val="100"/>
        <c:axId val="186091520"/>
        <c:axId val="186191232"/>
      </c:barChart>
      <c:catAx>
        <c:axId val="186091520"/>
        <c:scaling>
          <c:orientation val="minMax"/>
        </c:scaling>
        <c:delete val="0"/>
        <c:axPos val="l"/>
        <c:majorTickMark val="out"/>
        <c:minorTickMark val="none"/>
        <c:tickLblPos val="nextTo"/>
        <c:crossAx val="186191232"/>
        <c:crosses val="autoZero"/>
        <c:auto val="1"/>
        <c:lblAlgn val="ctr"/>
        <c:lblOffset val="100"/>
        <c:noMultiLvlLbl val="0"/>
      </c:catAx>
      <c:valAx>
        <c:axId val="186191232"/>
        <c:scaling>
          <c:orientation val="minMax"/>
        </c:scaling>
        <c:delete val="0"/>
        <c:axPos val="b"/>
        <c:numFmt formatCode="#,##0" sourceLinked="0"/>
        <c:majorTickMark val="out"/>
        <c:minorTickMark val="none"/>
        <c:tickLblPos val="nextTo"/>
        <c:crossAx val="186091520"/>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'Crafton Hills Pop Table &amp; Graph'!$A$73</c:f>
              <c:strCache>
                <c:ptCount val="1"/>
                <c:pt idx="0">
                  <c:v>Participation Rate</c:v>
                </c:pt>
              </c:strCache>
            </c:strRef>
          </c:tx>
          <c:dLbls>
            <c:dLblPos val="t"/>
            <c:showLegendKey val="0"/>
            <c:showVal val="1"/>
            <c:showCatName val="0"/>
            <c:showSerName val="0"/>
            <c:showPercent val="0"/>
            <c:showBubbleSize val="0"/>
            <c:showLeaderLines val="0"/>
          </c:dLbls>
          <c:cat>
            <c:strRef>
              <c:f>'Crafton Hills Pop Table &amp; Graph'!$B$70:$K$70</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'Crafton Hills Pop Table &amp; Graph'!$B$73:$K$73</c:f>
              <c:numCache>
                <c:formatCode>_(* #,##0.00_);_(* \(#,##0.00\);_(* "-"??_);_(@_)</c:formatCode>
                <c:ptCount val="10"/>
                <c:pt idx="0">
                  <c:v>9.3528076725968248</c:v>
                </c:pt>
                <c:pt idx="1">
                  <c:v>9.8841543040010755</c:v>
                </c:pt>
                <c:pt idx="2">
                  <c:v>10.269159014930423</c:v>
                </c:pt>
                <c:pt idx="3">
                  <c:v>10.436771827624929</c:v>
                </c:pt>
                <c:pt idx="4">
                  <c:v>9.722580483658378</c:v>
                </c:pt>
                <c:pt idx="5">
                  <c:v>9.3511335618497835</c:v>
                </c:pt>
                <c:pt idx="6">
                  <c:v>8.1339160131304329</c:v>
                </c:pt>
                <c:pt idx="7">
                  <c:v>7.4514020732875217</c:v>
                </c:pt>
                <c:pt idx="8">
                  <c:v>7.78366216755553</c:v>
                </c:pt>
                <c:pt idx="9">
                  <c:v>8.236953802368431</c:v>
                </c:pt>
              </c:numCache>
            </c:numRef>
          </c:val>
          <c:smooth val="0"/>
        </c:ser>
        <c:dLbls>
          <c:showLegendKey val="0"/>
          <c:showVal val="1"/>
          <c:showCatName val="0"/>
          <c:showSerName val="0"/>
          <c:showPercent val="0"/>
          <c:showBubbleSize val="0"/>
        </c:dLbls>
        <c:marker val="1"/>
        <c:smooth val="0"/>
        <c:axId val="186092544"/>
        <c:axId val="186192960"/>
      </c:lineChart>
      <c:catAx>
        <c:axId val="186092544"/>
        <c:scaling>
          <c:orientation val="minMax"/>
        </c:scaling>
        <c:delete val="0"/>
        <c:axPos val="b"/>
        <c:majorGridlines/>
        <c:majorTickMark val="out"/>
        <c:minorTickMark val="none"/>
        <c:tickLblPos val="nextTo"/>
        <c:crossAx val="186192960"/>
        <c:crosses val="autoZero"/>
        <c:auto val="1"/>
        <c:lblAlgn val="ctr"/>
        <c:lblOffset val="100"/>
        <c:noMultiLvlLbl val="0"/>
      </c:catAx>
      <c:valAx>
        <c:axId val="186192960"/>
        <c:scaling>
          <c:orientation val="minMax"/>
        </c:scaling>
        <c:delete val="0"/>
        <c:axPos val="l"/>
        <c:title>
          <c:tx>
            <c:rich>
              <a:bodyPr rot="-5400000" vert="horz"/>
              <a:lstStyle/>
              <a:p>
                <a:pPr>
                  <a:defRPr/>
                </a:pPr>
                <a:r>
                  <a:rPr lang="en-US"/>
                  <a:t>Participation Rate</a:t>
                </a:r>
              </a:p>
            </c:rich>
          </c:tx>
          <c:layout/>
          <c:overlay val="0"/>
        </c:title>
        <c:numFmt formatCode="_(* #,##0.00_);_(* \(#,##0.00\);_(* &quot;-&quot;??_);_(@_)" sourceLinked="1"/>
        <c:majorTickMark val="out"/>
        <c:minorTickMark val="none"/>
        <c:tickLblPos val="nextTo"/>
        <c:crossAx val="18609254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Course Success Rate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0.00%</c:formatCode>
                <c:ptCount val="5"/>
                <c:pt idx="0">
                  <c:v>0.70500000000000007</c:v>
                </c:pt>
                <c:pt idx="1">
                  <c:v>0.7320000000000001</c:v>
                </c:pt>
                <c:pt idx="2">
                  <c:v>0.7340000000000001</c:v>
                </c:pt>
                <c:pt idx="3" formatCode="0%">
                  <c:v>0.73000000000000009</c:v>
                </c:pt>
                <c:pt idx="4">
                  <c:v>0.7380000000000001</c:v>
                </c:pt>
              </c:numCache>
            </c:numRef>
          </c:val>
        </c:ser>
        <c:dLbls>
          <c:showLegendKey val="0"/>
          <c:showVal val="0"/>
          <c:showCatName val="0"/>
          <c:showSerName val="0"/>
          <c:showPercent val="0"/>
          <c:showBubbleSize val="0"/>
        </c:dLbls>
        <c:gapWidth val="125"/>
        <c:axId val="186093056"/>
        <c:axId val="186195264"/>
      </c:barChart>
      <c:catAx>
        <c:axId val="1860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95264"/>
        <c:crosses val="autoZero"/>
        <c:auto val="1"/>
        <c:lblAlgn val="ctr"/>
        <c:lblOffset val="100"/>
        <c:noMultiLvlLbl val="0"/>
      </c:catAx>
      <c:valAx>
        <c:axId val="186195264"/>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9305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a:t>
            </a:r>
            <a:r>
              <a:rPr lang="en-US" baseline="0"/>
              <a:t> Adjusted Throughput Rate</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English</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0.00%</c:formatCode>
                <c:ptCount val="5"/>
                <c:pt idx="0">
                  <c:v>0.41100000000000003</c:v>
                </c:pt>
                <c:pt idx="1">
                  <c:v>0.45600000000000002</c:v>
                </c:pt>
                <c:pt idx="2">
                  <c:v>0.45100000000000001</c:v>
                </c:pt>
                <c:pt idx="3">
                  <c:v>0.47300000000000003</c:v>
                </c:pt>
                <c:pt idx="4">
                  <c:v>0.4270000000000001</c:v>
                </c:pt>
              </c:numCache>
            </c:numRef>
          </c:val>
          <c:smooth val="0"/>
        </c:ser>
        <c:ser>
          <c:idx val="1"/>
          <c:order val="1"/>
          <c:tx>
            <c:strRef>
              <c:f>Sheet1!$C$1</c:f>
              <c:strCache>
                <c:ptCount val="1"/>
                <c:pt idx="0">
                  <c:v>Reading</c:v>
                </c:pt>
              </c:strCache>
            </c:strRef>
          </c:tx>
          <c:spPr>
            <a:ln w="28575" cap="rnd">
              <a:solidFill>
                <a:schemeClr val="accent2"/>
              </a:solidFill>
              <a:round/>
            </a:ln>
            <a:effectLst/>
          </c:spPr>
          <c:marker>
            <c:symbol val="none"/>
          </c:marker>
          <c:dLbls>
            <c:dLbl>
              <c:idx val="0"/>
              <c:layout>
                <c:manualLayout>
                  <c:x val="-4.2309164479440088E-2"/>
                  <c:y val="-3.4841269841269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623979294254885E-2"/>
                  <c:y val="-3.484126984126984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Sheet1!$C$2:$C$6</c:f>
              <c:numCache>
                <c:formatCode>0.00%</c:formatCode>
                <c:ptCount val="5"/>
                <c:pt idx="0">
                  <c:v>0.2970000000000001</c:v>
                </c:pt>
                <c:pt idx="1">
                  <c:v>0.27800000000000002</c:v>
                </c:pt>
                <c:pt idx="2">
                  <c:v>0.23500000000000001</c:v>
                </c:pt>
                <c:pt idx="3" formatCode="0.0000%">
                  <c:v>0.20100000000000001</c:v>
                </c:pt>
                <c:pt idx="4">
                  <c:v>0.16700000000000001</c:v>
                </c:pt>
              </c:numCache>
            </c:numRef>
          </c:val>
          <c:smooth val="0"/>
        </c:ser>
        <c:ser>
          <c:idx val="2"/>
          <c:order val="2"/>
          <c:tx>
            <c:strRef>
              <c:f>Sheet1!$D$1</c:f>
              <c:strCache>
                <c:ptCount val="1"/>
                <c:pt idx="0">
                  <c:v>Math</c:v>
                </c:pt>
              </c:strCache>
            </c:strRef>
          </c:tx>
          <c:spPr>
            <a:ln w="28575" cap="rnd">
              <a:solidFill>
                <a:schemeClr val="accent3"/>
              </a:solidFill>
              <a:round/>
            </a:ln>
            <a:effectLst/>
          </c:spPr>
          <c:marker>
            <c:symbol val="none"/>
          </c:marker>
          <c:dLbls>
            <c:dLbl>
              <c:idx val="0"/>
              <c:layout>
                <c:manualLayout>
                  <c:x val="-5.1568423738699333E-2"/>
                  <c:y val="3.4841269841269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623979294254885E-2"/>
                  <c:y val="3.484126984126984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Sheet1!$D$2:$D$6</c:f>
              <c:numCache>
                <c:formatCode>0.00%</c:formatCode>
                <c:ptCount val="5"/>
                <c:pt idx="0">
                  <c:v>0.21500000000000002</c:v>
                </c:pt>
                <c:pt idx="1">
                  <c:v>0.24900000000000003</c:v>
                </c:pt>
                <c:pt idx="2">
                  <c:v>0.28100000000000008</c:v>
                </c:pt>
                <c:pt idx="3">
                  <c:v>0.23200000000000001</c:v>
                </c:pt>
                <c:pt idx="4">
                  <c:v>0.28700000000000003</c:v>
                </c:pt>
              </c:numCache>
            </c:numRef>
          </c:val>
          <c:smooth val="0"/>
        </c:ser>
        <c:dLbls>
          <c:showLegendKey val="0"/>
          <c:showVal val="0"/>
          <c:showCatName val="0"/>
          <c:showSerName val="0"/>
          <c:showPercent val="0"/>
          <c:showBubbleSize val="0"/>
        </c:dLbls>
        <c:marker val="1"/>
        <c:smooth val="0"/>
        <c:axId val="186407936"/>
        <c:axId val="186238080"/>
      </c:lineChart>
      <c:catAx>
        <c:axId val="1864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38080"/>
        <c:crosses val="autoZero"/>
        <c:auto val="1"/>
        <c:lblAlgn val="ctr"/>
        <c:lblOffset val="100"/>
        <c:noMultiLvlLbl val="0"/>
      </c:catAx>
      <c:valAx>
        <c:axId val="18623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0793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Three-Year Throughput Rate</a:t>
            </a:r>
          </a:p>
        </c:rich>
      </c:tx>
      <c:overlay val="0"/>
      <c:spPr>
        <a:noFill/>
        <a:ln>
          <a:noFill/>
        </a:ln>
        <a:effectLst/>
      </c:spPr>
    </c:title>
    <c:autoTitleDeleted val="0"/>
    <c:plotArea>
      <c:layout/>
      <c:lineChart>
        <c:grouping val="standard"/>
        <c:varyColors val="0"/>
        <c:ser>
          <c:idx val="0"/>
          <c:order val="0"/>
          <c:tx>
            <c:strRef>
              <c:f>Sheet1!$B$1</c:f>
              <c:strCache>
                <c:ptCount val="1"/>
                <c:pt idx="0">
                  <c:v>English</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0%</c:formatCode>
                <c:ptCount val="5"/>
                <c:pt idx="0" formatCode="0.00%">
                  <c:v>0.56499999999999995</c:v>
                </c:pt>
                <c:pt idx="1">
                  <c:v>0.66000000000000014</c:v>
                </c:pt>
                <c:pt idx="2" formatCode="0.00%">
                  <c:v>0.59299999999999997</c:v>
                </c:pt>
                <c:pt idx="3" formatCode="0.00%">
                  <c:v>0.47100000000000003</c:v>
                </c:pt>
                <c:pt idx="4" formatCode="0.00%">
                  <c:v>0.48100000000000004</c:v>
                </c:pt>
              </c:numCache>
            </c:numRef>
          </c:val>
          <c:smooth val="0"/>
        </c:ser>
        <c:ser>
          <c:idx val="1"/>
          <c:order val="1"/>
          <c:tx>
            <c:strRef>
              <c:f>Sheet1!$C$1</c:f>
              <c:strCache>
                <c:ptCount val="1"/>
                <c:pt idx="0">
                  <c:v>Reading</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Sheet1!$C$2:$C$6</c:f>
              <c:numCache>
                <c:formatCode>0.00%</c:formatCode>
                <c:ptCount val="5"/>
                <c:pt idx="0" formatCode="0%">
                  <c:v>0.30000000000000004</c:v>
                </c:pt>
                <c:pt idx="1">
                  <c:v>0.25700000000000001</c:v>
                </c:pt>
                <c:pt idx="2">
                  <c:v>0.26500000000000001</c:v>
                </c:pt>
                <c:pt idx="3">
                  <c:v>0.34300000000000008</c:v>
                </c:pt>
                <c:pt idx="4">
                  <c:v>0.32700000000000007</c:v>
                </c:pt>
              </c:numCache>
            </c:numRef>
          </c:val>
          <c:smooth val="0"/>
        </c:ser>
        <c:ser>
          <c:idx val="2"/>
          <c:order val="2"/>
          <c:tx>
            <c:strRef>
              <c:f>Sheet1!$D$1</c:f>
              <c:strCache>
                <c:ptCount val="1"/>
                <c:pt idx="0">
                  <c:v>Math</c:v>
                </c:pt>
              </c:strCache>
            </c:strRef>
          </c:tx>
          <c:spPr>
            <a:ln w="28575" cap="rnd">
              <a:solidFill>
                <a:schemeClr val="accent3"/>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Sheet1!$D$2:$D$6</c:f>
              <c:numCache>
                <c:formatCode>0%</c:formatCode>
                <c:ptCount val="5"/>
                <c:pt idx="0" formatCode="0.00%">
                  <c:v>0.16200000000000001</c:v>
                </c:pt>
                <c:pt idx="1">
                  <c:v>0.22</c:v>
                </c:pt>
                <c:pt idx="2" formatCode="0.00%">
                  <c:v>0.23200000000000001</c:v>
                </c:pt>
                <c:pt idx="3" formatCode="0.00%">
                  <c:v>0.2980000000000001</c:v>
                </c:pt>
                <c:pt idx="4" formatCode="0.00%">
                  <c:v>0.30700000000000005</c:v>
                </c:pt>
              </c:numCache>
            </c:numRef>
          </c:val>
          <c:smooth val="0"/>
        </c:ser>
        <c:dLbls>
          <c:showLegendKey val="0"/>
          <c:showVal val="0"/>
          <c:showCatName val="0"/>
          <c:showSerName val="0"/>
          <c:showPercent val="0"/>
          <c:showBubbleSize val="0"/>
        </c:dLbls>
        <c:marker val="1"/>
        <c:smooth val="0"/>
        <c:axId val="186408448"/>
        <c:axId val="186239808"/>
      </c:lineChart>
      <c:catAx>
        <c:axId val="1864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39808"/>
        <c:crosses val="autoZero"/>
        <c:auto val="1"/>
        <c:lblAlgn val="ctr"/>
        <c:lblOffset val="100"/>
        <c:noMultiLvlLbl val="0"/>
      </c:catAx>
      <c:valAx>
        <c:axId val="1862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0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Retention Rate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0.00%</c:formatCode>
                <c:ptCount val="5"/>
                <c:pt idx="0">
                  <c:v>0.68100000000000005</c:v>
                </c:pt>
                <c:pt idx="1">
                  <c:v>0.67700000000000016</c:v>
                </c:pt>
                <c:pt idx="2">
                  <c:v>0.69599999999999995</c:v>
                </c:pt>
                <c:pt idx="3">
                  <c:v>0.70400000000000007</c:v>
                </c:pt>
                <c:pt idx="4">
                  <c:v>0.69099999999999995</c:v>
                </c:pt>
              </c:numCache>
            </c:numRef>
          </c:val>
        </c:ser>
        <c:dLbls>
          <c:showLegendKey val="0"/>
          <c:showVal val="1"/>
          <c:showCatName val="0"/>
          <c:showSerName val="0"/>
          <c:showPercent val="0"/>
          <c:showBubbleSize val="0"/>
        </c:dLbls>
        <c:gapWidth val="125"/>
        <c:axId val="190123008"/>
        <c:axId val="186241536"/>
      </c:barChart>
      <c:catAx>
        <c:axId val="1901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41536"/>
        <c:crosses val="autoZero"/>
        <c:auto val="1"/>
        <c:lblAlgn val="ctr"/>
        <c:lblOffset val="100"/>
        <c:noMultiLvlLbl val="0"/>
      </c:catAx>
      <c:valAx>
        <c:axId val="18624153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2300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Awards Conferred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726</c:v>
                </c:pt>
                <c:pt idx="1">
                  <c:v>652</c:v>
                </c:pt>
                <c:pt idx="2">
                  <c:v>733</c:v>
                </c:pt>
                <c:pt idx="3">
                  <c:v>825</c:v>
                </c:pt>
                <c:pt idx="4">
                  <c:v>935</c:v>
                </c:pt>
              </c:numCache>
            </c:numRef>
          </c:val>
        </c:ser>
        <c:dLbls>
          <c:showLegendKey val="0"/>
          <c:showVal val="0"/>
          <c:showCatName val="0"/>
          <c:showSerName val="0"/>
          <c:showPercent val="0"/>
          <c:showBubbleSize val="0"/>
        </c:dLbls>
        <c:gapWidth val="125"/>
        <c:axId val="190122496"/>
        <c:axId val="186243264"/>
      </c:barChart>
      <c:catAx>
        <c:axId val="1901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43264"/>
        <c:crosses val="autoZero"/>
        <c:auto val="1"/>
        <c:lblAlgn val="ctr"/>
        <c:lblOffset val="100"/>
        <c:noMultiLvlLbl val="0"/>
      </c:catAx>
      <c:valAx>
        <c:axId val="1862432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2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Transfer Rate by Cohort Year</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7-Year Transfer Rate by Cohort Year</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2004-2005</c:v>
                </c:pt>
                <c:pt idx="1">
                  <c:v>2005-2006</c:v>
                </c:pt>
                <c:pt idx="2">
                  <c:v>2006-2007</c:v>
                </c:pt>
                <c:pt idx="3">
                  <c:v>2007-2008</c:v>
                </c:pt>
                <c:pt idx="4">
                  <c:v>2008-2009</c:v>
                </c:pt>
              </c:strCache>
            </c:strRef>
          </c:cat>
          <c:val>
            <c:numRef>
              <c:f>Sheet1!$B$2:$B$6</c:f>
              <c:numCache>
                <c:formatCode>0.00%</c:formatCode>
                <c:ptCount val="5"/>
                <c:pt idx="0">
                  <c:v>0.40580000000000005</c:v>
                </c:pt>
                <c:pt idx="1">
                  <c:v>0.4154000000000001</c:v>
                </c:pt>
                <c:pt idx="2">
                  <c:v>0.37690000000000007</c:v>
                </c:pt>
                <c:pt idx="3">
                  <c:v>0.3605000000000001</c:v>
                </c:pt>
                <c:pt idx="4">
                  <c:v>0.35960000000000003</c:v>
                </c:pt>
              </c:numCache>
            </c:numRef>
          </c:val>
        </c:ser>
        <c:dLbls>
          <c:showLegendKey val="0"/>
          <c:showVal val="0"/>
          <c:showCatName val="0"/>
          <c:showSerName val="0"/>
          <c:showPercent val="0"/>
          <c:showBubbleSize val="0"/>
        </c:dLbls>
        <c:gapWidth val="125"/>
        <c:axId val="191693824"/>
        <c:axId val="94568448"/>
      </c:barChart>
      <c:catAx>
        <c:axId val="1916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68448"/>
        <c:crosses val="autoZero"/>
        <c:auto val="1"/>
        <c:lblAlgn val="ctr"/>
        <c:lblOffset val="100"/>
        <c:noMultiLvlLbl val="0"/>
      </c:catAx>
      <c:valAx>
        <c:axId val="9456844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9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of Students Meeting</a:t>
            </a:r>
          </a:p>
          <a:p>
            <a:pPr>
              <a:defRPr sz="1400" b="0" i="0" u="none" strike="noStrike" kern="1200" spc="0" baseline="0">
                <a:solidFill>
                  <a:schemeClr val="tx1">
                    <a:lumMod val="65000"/>
                    <a:lumOff val="35000"/>
                  </a:schemeClr>
                </a:solidFill>
                <a:latin typeface="+mn-lt"/>
                <a:ea typeface="+mn-ea"/>
                <a:cs typeface="+mn-cs"/>
              </a:defRPr>
            </a:pPr>
            <a:r>
              <a:rPr lang="en-US"/>
              <a:t>Institutional</a:t>
            </a:r>
            <a:r>
              <a:rPr lang="en-US" baseline="0"/>
              <a:t> Learning Outcomes</a:t>
            </a:r>
            <a:endParaRPr lang="en-US"/>
          </a:p>
        </c:rich>
      </c:tx>
      <c:overlay val="0"/>
      <c:spPr>
        <a:noFill/>
        <a:ln>
          <a:noFill/>
        </a:ln>
        <a:effectLst/>
      </c:spPr>
    </c:title>
    <c:autoTitleDeleted val="0"/>
    <c:plotArea>
      <c:layout/>
      <c:radarChart>
        <c:radarStyle val="filled"/>
        <c:varyColors val="0"/>
        <c:ser>
          <c:idx val="0"/>
          <c:order val="0"/>
          <c:tx>
            <c:strRef>
              <c:f>Sheet1!$B$1</c:f>
              <c:strCache>
                <c:ptCount val="1"/>
                <c:pt idx="0">
                  <c:v>Percent Meeting ILO</c:v>
                </c:pt>
              </c:strCache>
            </c:strRef>
          </c:tx>
          <c:spPr>
            <a:solidFill>
              <a:schemeClr val="accent2">
                <a:alpha val="42000"/>
              </a:schemeClr>
            </a:solidFill>
            <a:ln w="47625" cmpd="sng">
              <a:solidFill>
                <a:schemeClr val="accent1"/>
              </a:solidFill>
              <a:prstDash val="sysDot"/>
            </a:ln>
            <a:effectLst/>
          </c:spPr>
          <c:dLbls>
            <c:dLbl>
              <c:idx val="0"/>
              <c:layout>
                <c:manualLayout>
                  <c:x val="-8.4875562720133382E-17"/>
                  <c:y val="-2.466259474575026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018518518518504E-2"/>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407E-2"/>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3382E-17"/>
                  <c:y val="9.91321411926313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9537037037037049E-2"/>
                  <c:y val="5.952380952380951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407407407407407E-2"/>
                  <c:y val="3.5714285714285643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Critical Thinking</c:v>
                </c:pt>
                <c:pt idx="1">
                  <c:v>Written &amp; Oral Communication</c:v>
                </c:pt>
                <c:pt idx="2">
                  <c:v>Interpersonal &amp; Group Skills</c:v>
                </c:pt>
                <c:pt idx="3">
                  <c:v>Society &amp; Culture</c:v>
                </c:pt>
                <c:pt idx="4">
                  <c:v>Information Literacy</c:v>
                </c:pt>
                <c:pt idx="5">
                  <c:v>Ethics &amp; Values</c:v>
                </c:pt>
              </c:strCache>
            </c:strRef>
          </c:cat>
          <c:val>
            <c:numRef>
              <c:f>Sheet1!$B$2:$B$7</c:f>
              <c:numCache>
                <c:formatCode>0.00%</c:formatCode>
                <c:ptCount val="6"/>
                <c:pt idx="0">
                  <c:v>0.77390000000000014</c:v>
                </c:pt>
                <c:pt idx="1">
                  <c:v>0.81059999999999999</c:v>
                </c:pt>
                <c:pt idx="2">
                  <c:v>0.87100000000000011</c:v>
                </c:pt>
                <c:pt idx="3">
                  <c:v>0.78549999999999998</c:v>
                </c:pt>
                <c:pt idx="4">
                  <c:v>0.79249999999999998</c:v>
                </c:pt>
                <c:pt idx="5">
                  <c:v>0.81910000000000005</c:v>
                </c:pt>
              </c:numCache>
            </c:numRef>
          </c:val>
        </c:ser>
        <c:dLbls>
          <c:showLegendKey val="0"/>
          <c:showVal val="0"/>
          <c:showCatName val="0"/>
          <c:showSerName val="0"/>
          <c:showPercent val="0"/>
          <c:showBubbleSize val="0"/>
        </c:dLbls>
        <c:axId val="186406400"/>
        <c:axId val="94570752"/>
      </c:radarChart>
      <c:catAx>
        <c:axId val="186406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0752"/>
        <c:crosses val="autoZero"/>
        <c:auto val="1"/>
        <c:lblAlgn val="ctr"/>
        <c:lblOffset val="100"/>
        <c:noMultiLvlLbl val="0"/>
      </c:catAx>
      <c:valAx>
        <c:axId val="94570752"/>
        <c:scaling>
          <c:orientation val="minMax"/>
          <c:max val="0.9"/>
          <c:min val="0.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one"/>
        <c:crossAx val="186406400"/>
        <c:crosses val="autoZero"/>
        <c:crossBetween val="between"/>
        <c:majorUnit val="5.0000000000000017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 Enrollment by Ethnicity</a:t>
            </a:r>
          </a:p>
        </c:rich>
      </c:tx>
      <c:overlay val="0"/>
      <c:spPr>
        <a:noFill/>
        <a:ln>
          <a:noFill/>
        </a:ln>
        <a:effectLst/>
      </c:spPr>
    </c:title>
    <c:autoTitleDeleted val="0"/>
    <c:plotArea>
      <c:layout/>
      <c:lineChart>
        <c:grouping val="standard"/>
        <c:varyColors val="0"/>
        <c:ser>
          <c:idx val="0"/>
          <c:order val="0"/>
          <c:tx>
            <c:strRef>
              <c:f>Sheet1!$B$1</c:f>
              <c:strCache>
                <c:ptCount val="1"/>
                <c:pt idx="0">
                  <c:v>Hispanic</c:v>
                </c:pt>
              </c:strCache>
            </c:strRef>
          </c:tx>
          <c:spPr>
            <a:ln w="28575" cap="rnd">
              <a:solidFill>
                <a:schemeClr val="accent1"/>
              </a:solidFill>
              <a:round/>
            </a:ln>
            <a:effectLst/>
          </c:spPr>
          <c:marker>
            <c:symbol val="none"/>
          </c:marker>
          <c:dLbls>
            <c:dLbl>
              <c:idx val="4"/>
              <c:layout>
                <c:manualLayout>
                  <c:x val="-5.1568423738699333E-2"/>
                  <c:y val="-3.484126984126984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0.00%</c:formatCode>
                <c:ptCount val="5"/>
                <c:pt idx="0">
                  <c:v>0.33400000000000007</c:v>
                </c:pt>
                <c:pt idx="1">
                  <c:v>0.3610000000000001</c:v>
                </c:pt>
                <c:pt idx="2">
                  <c:v>0.39600000000000007</c:v>
                </c:pt>
                <c:pt idx="3">
                  <c:v>0.4210000000000001</c:v>
                </c:pt>
                <c:pt idx="4">
                  <c:v>0.44</c:v>
                </c:pt>
              </c:numCache>
            </c:numRef>
          </c:val>
          <c:smooth val="0"/>
        </c:ser>
        <c:ser>
          <c:idx val="1"/>
          <c:order val="1"/>
          <c:tx>
            <c:strRef>
              <c:f>Sheet1!$C$1</c:f>
              <c:strCache>
                <c:ptCount val="1"/>
                <c:pt idx="0">
                  <c:v>Caucasian</c:v>
                </c:pt>
              </c:strCache>
            </c:strRef>
          </c:tx>
          <c:spPr>
            <a:ln w="28575" cap="rnd">
              <a:solidFill>
                <a:schemeClr val="accent2"/>
              </a:solidFill>
              <a:round/>
            </a:ln>
            <a:effectLst/>
          </c:spPr>
          <c:marker>
            <c:symbol val="none"/>
          </c:marker>
          <c:dLbls>
            <c:dLbl>
              <c:idx val="4"/>
              <c:layout>
                <c:manualLayout>
                  <c:x val="-4.9253608923884688E-2"/>
                  <c:y val="3.880952380952381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Sheet1!$C$2:$C$6</c:f>
              <c:numCache>
                <c:formatCode>0.00%</c:formatCode>
                <c:ptCount val="5"/>
                <c:pt idx="0">
                  <c:v>0.50700000000000001</c:v>
                </c:pt>
                <c:pt idx="1">
                  <c:v>0.47600000000000003</c:v>
                </c:pt>
                <c:pt idx="2">
                  <c:v>0.45400000000000001</c:v>
                </c:pt>
                <c:pt idx="3">
                  <c:v>0.4230000000000001</c:v>
                </c:pt>
                <c:pt idx="4">
                  <c:v>0.39900000000000008</c:v>
                </c:pt>
              </c:numCache>
            </c:numRef>
          </c:val>
          <c:smooth val="0"/>
        </c:ser>
        <c:ser>
          <c:idx val="2"/>
          <c:order val="2"/>
          <c:tx>
            <c:strRef>
              <c:f>Sheet1!$D$1</c:f>
              <c:strCache>
                <c:ptCount val="1"/>
                <c:pt idx="0">
                  <c:v>Asian</c:v>
                </c:pt>
              </c:strCache>
            </c:strRef>
          </c:tx>
          <c:spPr>
            <a:ln w="28575" cap="rnd">
              <a:solidFill>
                <a:schemeClr val="accent3"/>
              </a:solidFill>
              <a:round/>
            </a:ln>
            <a:effectLst/>
          </c:spPr>
          <c:marker>
            <c:symbol val="none"/>
          </c:marker>
          <c:cat>
            <c:strRef>
              <c:f>Sheet1!$A$2:$A$6</c:f>
              <c:strCache>
                <c:ptCount val="5"/>
                <c:pt idx="0">
                  <c:v>Fall 2010</c:v>
                </c:pt>
                <c:pt idx="1">
                  <c:v>Fall 2011</c:v>
                </c:pt>
                <c:pt idx="2">
                  <c:v>Fall 2012</c:v>
                </c:pt>
                <c:pt idx="3">
                  <c:v>Fall 2013</c:v>
                </c:pt>
                <c:pt idx="4">
                  <c:v>Fall 2014</c:v>
                </c:pt>
              </c:strCache>
            </c:strRef>
          </c:cat>
          <c:val>
            <c:numRef>
              <c:f>Sheet1!$D$2:$D$6</c:f>
              <c:numCache>
                <c:formatCode>0.00%</c:formatCode>
                <c:ptCount val="5"/>
                <c:pt idx="0">
                  <c:v>5.3999999999999999E-2</c:v>
                </c:pt>
                <c:pt idx="1">
                  <c:v>6.1000000000000006E-2</c:v>
                </c:pt>
                <c:pt idx="2">
                  <c:v>5.7000000000000009E-2</c:v>
                </c:pt>
                <c:pt idx="3">
                  <c:v>5.6000000000000001E-2</c:v>
                </c:pt>
                <c:pt idx="4">
                  <c:v>4.8000000000000001E-2</c:v>
                </c:pt>
              </c:numCache>
            </c:numRef>
          </c:val>
          <c:smooth val="0"/>
        </c:ser>
        <c:ser>
          <c:idx val="3"/>
          <c:order val="3"/>
          <c:tx>
            <c:strRef>
              <c:f>Sheet1!$E$1</c:f>
              <c:strCache>
                <c:ptCount val="1"/>
                <c:pt idx="0">
                  <c:v>African American</c:v>
                </c:pt>
              </c:strCache>
            </c:strRef>
          </c:tx>
          <c:spPr>
            <a:ln w="28575" cap="rnd">
              <a:solidFill>
                <a:schemeClr val="accent4"/>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Sheet1!$E$2:$E$6</c:f>
              <c:numCache>
                <c:formatCode>0.00%</c:formatCode>
                <c:ptCount val="5"/>
                <c:pt idx="0">
                  <c:v>7.3000000000000009E-2</c:v>
                </c:pt>
                <c:pt idx="1">
                  <c:v>7.1999999999999995E-2</c:v>
                </c:pt>
                <c:pt idx="2">
                  <c:v>6.7000000000000004E-2</c:v>
                </c:pt>
                <c:pt idx="3">
                  <c:v>7.6999999999999999E-2</c:v>
                </c:pt>
                <c:pt idx="4">
                  <c:v>4.200000000000001E-2</c:v>
                </c:pt>
              </c:numCache>
            </c:numRef>
          </c:val>
          <c:smooth val="0"/>
        </c:ser>
        <c:ser>
          <c:idx val="4"/>
          <c:order val="4"/>
          <c:tx>
            <c:strRef>
              <c:f>Sheet1!$F$1</c:f>
              <c:strCache>
                <c:ptCount val="1"/>
                <c:pt idx="0">
                  <c:v>Native American</c:v>
                </c:pt>
              </c:strCache>
            </c:strRef>
          </c:tx>
          <c:spPr>
            <a:ln w="28575" cap="rnd">
              <a:solidFill>
                <a:schemeClr val="accent5"/>
              </a:solidFill>
              <a:round/>
            </a:ln>
            <a:effectLst/>
          </c:spPr>
          <c:marker>
            <c:symbol val="none"/>
          </c:marker>
          <c:cat>
            <c:strRef>
              <c:f>Sheet1!$A$2:$A$6</c:f>
              <c:strCache>
                <c:ptCount val="5"/>
                <c:pt idx="0">
                  <c:v>Fall 2010</c:v>
                </c:pt>
                <c:pt idx="1">
                  <c:v>Fall 2011</c:v>
                </c:pt>
                <c:pt idx="2">
                  <c:v>Fall 2012</c:v>
                </c:pt>
                <c:pt idx="3">
                  <c:v>Fall 2013</c:v>
                </c:pt>
                <c:pt idx="4">
                  <c:v>Fall 2014</c:v>
                </c:pt>
              </c:strCache>
            </c:strRef>
          </c:cat>
          <c:val>
            <c:numRef>
              <c:f>Sheet1!$F$2:$F$6</c:f>
              <c:numCache>
                <c:formatCode>0.00%</c:formatCode>
                <c:ptCount val="5"/>
                <c:pt idx="0">
                  <c:v>2.0000000000000004E-2</c:v>
                </c:pt>
                <c:pt idx="1">
                  <c:v>2.0000000000000004E-2</c:v>
                </c:pt>
                <c:pt idx="2">
                  <c:v>2.0000000000000004E-2</c:v>
                </c:pt>
                <c:pt idx="3">
                  <c:v>1.9000000000000003E-2</c:v>
                </c:pt>
                <c:pt idx="4">
                  <c:v>4.0000000000000008E-2</c:v>
                </c:pt>
              </c:numCache>
            </c:numRef>
          </c:val>
          <c:smooth val="0"/>
        </c:ser>
        <c:dLbls>
          <c:showLegendKey val="0"/>
          <c:showVal val="0"/>
          <c:showCatName val="0"/>
          <c:showSerName val="0"/>
          <c:showPercent val="0"/>
          <c:showBubbleSize val="0"/>
        </c:dLbls>
        <c:marker val="1"/>
        <c:smooth val="0"/>
        <c:axId val="186406912"/>
        <c:axId val="94572480"/>
      </c:lineChart>
      <c:catAx>
        <c:axId val="1864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2480"/>
        <c:crosses val="autoZero"/>
        <c:auto val="1"/>
        <c:lblAlgn val="ctr"/>
        <c:lblOffset val="100"/>
        <c:noMultiLvlLbl val="0"/>
      </c:catAx>
      <c:valAx>
        <c:axId val="9457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0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2607547988125427E-2"/>
          <c:y val="6.8869932925051086E-2"/>
          <c:w val="0.89879743664520628"/>
          <c:h val="0.81140726900662796"/>
        </c:manualLayout>
      </c:layout>
      <c:lineChart>
        <c:grouping val="standard"/>
        <c:varyColors val="0"/>
        <c:ser>
          <c:idx val="0"/>
          <c:order val="0"/>
          <c:tx>
            <c:strRef>
              <c:f>'Total Enrollment'!$H$1</c:f>
              <c:strCache>
                <c:ptCount val="1"/>
                <c:pt idx="0">
                  <c:v>Crafton</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Enrollment'!$A$2:$A$11</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'Total Enrollment'!$H$2:$H$11</c:f>
              <c:numCache>
                <c:formatCode>#,##0</c:formatCode>
                <c:ptCount val="10"/>
                <c:pt idx="0">
                  <c:v>8176</c:v>
                </c:pt>
                <c:pt idx="1">
                  <c:v>8818</c:v>
                </c:pt>
                <c:pt idx="2">
                  <c:v>9286</c:v>
                </c:pt>
                <c:pt idx="3">
                  <c:v>9517</c:v>
                </c:pt>
                <c:pt idx="4">
                  <c:v>8933</c:v>
                </c:pt>
                <c:pt idx="5">
                  <c:v>8708</c:v>
                </c:pt>
                <c:pt idx="6">
                  <c:v>7674</c:v>
                </c:pt>
                <c:pt idx="7">
                  <c:v>7096</c:v>
                </c:pt>
                <c:pt idx="8">
                  <c:v>7528</c:v>
                </c:pt>
                <c:pt idx="9">
                  <c:v>8040</c:v>
                </c:pt>
              </c:numCache>
            </c:numRef>
          </c:val>
          <c:smooth val="0"/>
        </c:ser>
        <c:dLbls>
          <c:showLegendKey val="0"/>
          <c:showVal val="0"/>
          <c:showCatName val="0"/>
          <c:showSerName val="0"/>
          <c:showPercent val="0"/>
          <c:showBubbleSize val="0"/>
        </c:dLbls>
        <c:marker val="1"/>
        <c:smooth val="0"/>
        <c:axId val="151446016"/>
        <c:axId val="151355968"/>
      </c:lineChart>
      <c:catAx>
        <c:axId val="151446016"/>
        <c:scaling>
          <c:orientation val="minMax"/>
        </c:scaling>
        <c:delete val="0"/>
        <c:axPos val="b"/>
        <c:majorGridlines/>
        <c:numFmt formatCode="General" sourceLinked="0"/>
        <c:majorTickMark val="out"/>
        <c:minorTickMark val="none"/>
        <c:tickLblPos val="nextTo"/>
        <c:crossAx val="151355968"/>
        <c:crosses val="autoZero"/>
        <c:auto val="1"/>
        <c:lblAlgn val="ctr"/>
        <c:lblOffset val="100"/>
        <c:noMultiLvlLbl val="0"/>
      </c:catAx>
      <c:valAx>
        <c:axId val="151355968"/>
        <c:scaling>
          <c:orientation val="minMax"/>
        </c:scaling>
        <c:delete val="0"/>
        <c:axPos val="l"/>
        <c:title>
          <c:tx>
            <c:rich>
              <a:bodyPr rot="-5400000" vert="horz"/>
              <a:lstStyle/>
              <a:p>
                <a:pPr>
                  <a:defRPr/>
                </a:pPr>
                <a:r>
                  <a:rPr lang="en-US"/>
                  <a:t>Unduplicated Enrollment</a:t>
                </a:r>
              </a:p>
            </c:rich>
          </c:tx>
          <c:layout/>
          <c:overlay val="0"/>
        </c:title>
        <c:numFmt formatCode="#,##0" sourceLinked="1"/>
        <c:majorTickMark val="out"/>
        <c:minorTickMark val="none"/>
        <c:tickLblPos val="nextTo"/>
        <c:crossAx val="151446016"/>
        <c:crosses val="autoZero"/>
        <c:crossBetween val="between"/>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 Enrollment by Gender</a:t>
            </a:r>
          </a:p>
        </c:rich>
      </c:tx>
      <c:overlay val="0"/>
      <c:spPr>
        <a:noFill/>
        <a:ln>
          <a:noFill/>
        </a:ln>
        <a:effectLst/>
      </c:spPr>
    </c:title>
    <c:autoTitleDeleted val="0"/>
    <c:plotArea>
      <c:layout/>
      <c:lineChart>
        <c:grouping val="standard"/>
        <c:varyColors val="0"/>
        <c:ser>
          <c:idx val="0"/>
          <c:order val="0"/>
          <c:tx>
            <c:strRef>
              <c:f>Sheet1!$B$1</c:f>
              <c:strCache>
                <c:ptCount val="1"/>
                <c:pt idx="0">
                  <c:v>Female</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0.00%</c:formatCode>
                <c:ptCount val="5"/>
                <c:pt idx="0">
                  <c:v>0.51900000000000002</c:v>
                </c:pt>
                <c:pt idx="1">
                  <c:v>0.505</c:v>
                </c:pt>
                <c:pt idx="2">
                  <c:v>0.51800000000000002</c:v>
                </c:pt>
                <c:pt idx="3">
                  <c:v>0.52300000000000002</c:v>
                </c:pt>
                <c:pt idx="4">
                  <c:v>0.53400000000000003</c:v>
                </c:pt>
              </c:numCache>
            </c:numRef>
          </c:val>
          <c:smooth val="0"/>
        </c:ser>
        <c:ser>
          <c:idx val="1"/>
          <c:order val="1"/>
          <c:tx>
            <c:strRef>
              <c:f>Sheet1!$C$1</c:f>
              <c:strCache>
                <c:ptCount val="1"/>
                <c:pt idx="0">
                  <c:v>Male</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Sheet1!$C$2:$C$6</c:f>
              <c:numCache>
                <c:formatCode>0.00%</c:formatCode>
                <c:ptCount val="5"/>
                <c:pt idx="0">
                  <c:v>0.47900000000000004</c:v>
                </c:pt>
                <c:pt idx="1">
                  <c:v>0.49400000000000011</c:v>
                </c:pt>
                <c:pt idx="2" formatCode="0%">
                  <c:v>0.48000000000000004</c:v>
                </c:pt>
                <c:pt idx="3">
                  <c:v>0.47500000000000003</c:v>
                </c:pt>
                <c:pt idx="4">
                  <c:v>0.46400000000000002</c:v>
                </c:pt>
              </c:numCache>
            </c:numRef>
          </c:val>
          <c:smooth val="0"/>
        </c:ser>
        <c:dLbls>
          <c:showLegendKey val="0"/>
          <c:showVal val="0"/>
          <c:showCatName val="0"/>
          <c:showSerName val="0"/>
          <c:showPercent val="0"/>
          <c:showBubbleSize val="0"/>
        </c:dLbls>
        <c:marker val="1"/>
        <c:smooth val="0"/>
        <c:axId val="191915008"/>
        <c:axId val="94574208"/>
      </c:lineChart>
      <c:catAx>
        <c:axId val="1919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4208"/>
        <c:crosses val="autoZero"/>
        <c:auto val="1"/>
        <c:lblAlgn val="ctr"/>
        <c:lblOffset val="100"/>
        <c:noMultiLvlLbl val="0"/>
      </c:catAx>
      <c:valAx>
        <c:axId val="94574208"/>
        <c:scaling>
          <c:orientation val="minMax"/>
          <c:max val="0.6000000000000002"/>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a:t>
            </a:r>
            <a:r>
              <a:rPr lang="en-US" baseline="0"/>
              <a:t> Enrollment by Age Group</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19 or Younger</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0%</c:formatCode>
                <c:ptCount val="5"/>
                <c:pt idx="0">
                  <c:v>0.33000000000000007</c:v>
                </c:pt>
                <c:pt idx="1">
                  <c:v>0.34200000000000008</c:v>
                </c:pt>
                <c:pt idx="2">
                  <c:v>0.34300000000000008</c:v>
                </c:pt>
                <c:pt idx="3">
                  <c:v>0.33600000000000008</c:v>
                </c:pt>
                <c:pt idx="4">
                  <c:v>0.32300000000000006</c:v>
                </c:pt>
              </c:numCache>
            </c:numRef>
          </c:val>
          <c:smooth val="0"/>
        </c:ser>
        <c:ser>
          <c:idx val="1"/>
          <c:order val="1"/>
          <c:tx>
            <c:strRef>
              <c:f>Sheet1!$C$1</c:f>
              <c:strCache>
                <c:ptCount val="1"/>
                <c:pt idx="0">
                  <c:v>20-24</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Sheet1!$C$2:$C$6</c:f>
              <c:numCache>
                <c:formatCode>0%</c:formatCode>
                <c:ptCount val="5"/>
                <c:pt idx="0">
                  <c:v>0.3640000000000001</c:v>
                </c:pt>
                <c:pt idx="1">
                  <c:v>0.3650000000000001</c:v>
                </c:pt>
                <c:pt idx="2">
                  <c:v>0.38600000000000007</c:v>
                </c:pt>
                <c:pt idx="3">
                  <c:v>0.39000000000000007</c:v>
                </c:pt>
                <c:pt idx="4">
                  <c:v>0.40600000000000008</c:v>
                </c:pt>
              </c:numCache>
            </c:numRef>
          </c:val>
          <c:smooth val="0"/>
        </c:ser>
        <c:ser>
          <c:idx val="2"/>
          <c:order val="2"/>
          <c:tx>
            <c:strRef>
              <c:f>Sheet1!$D$1</c:f>
              <c:strCache>
                <c:ptCount val="1"/>
                <c:pt idx="0">
                  <c:v>25-39</c:v>
                </c:pt>
              </c:strCache>
            </c:strRef>
          </c:tx>
          <c:spPr>
            <a:ln w="28575" cap="rnd">
              <a:solidFill>
                <a:schemeClr val="accent3"/>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Sheet1!$D$2:$D$6</c:f>
              <c:numCache>
                <c:formatCode>0.000%</c:formatCode>
                <c:ptCount val="5"/>
                <c:pt idx="0">
                  <c:v>0.22500000000000001</c:v>
                </c:pt>
                <c:pt idx="1">
                  <c:v>0.21900000000000003</c:v>
                </c:pt>
                <c:pt idx="2">
                  <c:v>0.2</c:v>
                </c:pt>
                <c:pt idx="3">
                  <c:v>0.21300000000000002</c:v>
                </c:pt>
                <c:pt idx="4">
                  <c:v>0.21000000000000002</c:v>
                </c:pt>
              </c:numCache>
            </c:numRef>
          </c:val>
          <c:smooth val="0"/>
        </c:ser>
        <c:ser>
          <c:idx val="3"/>
          <c:order val="3"/>
          <c:tx>
            <c:strRef>
              <c:f>Sheet1!$E$1</c:f>
              <c:strCache>
                <c:ptCount val="1"/>
                <c:pt idx="0">
                  <c:v>40 and Older</c:v>
                </c:pt>
              </c:strCache>
            </c:strRef>
          </c:tx>
          <c:spPr>
            <a:ln w="28575" cap="rnd">
              <a:solidFill>
                <a:schemeClr val="accent4"/>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Sheet1!$E$2:$E$6</c:f>
              <c:numCache>
                <c:formatCode>0.00%</c:formatCode>
                <c:ptCount val="5"/>
                <c:pt idx="0">
                  <c:v>8.1000000000000003E-2</c:v>
                </c:pt>
                <c:pt idx="1">
                  <c:v>7.3999999999999996E-2</c:v>
                </c:pt>
                <c:pt idx="2">
                  <c:v>7.1999999999999995E-2</c:v>
                </c:pt>
                <c:pt idx="3">
                  <c:v>6.0000000000000005E-2</c:v>
                </c:pt>
                <c:pt idx="4">
                  <c:v>6.1000000000000006E-2</c:v>
                </c:pt>
              </c:numCache>
            </c:numRef>
          </c:val>
          <c:smooth val="0"/>
        </c:ser>
        <c:dLbls>
          <c:showLegendKey val="0"/>
          <c:showVal val="0"/>
          <c:showCatName val="0"/>
          <c:showSerName val="0"/>
          <c:showPercent val="0"/>
          <c:showBubbleSize val="0"/>
        </c:dLbls>
        <c:marker val="1"/>
        <c:smooth val="0"/>
        <c:axId val="191914496"/>
        <c:axId val="94575360"/>
      </c:lineChart>
      <c:catAx>
        <c:axId val="19191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5360"/>
        <c:crosses val="autoZero"/>
        <c:auto val="1"/>
        <c:lblAlgn val="ctr"/>
        <c:lblOffset val="100"/>
        <c:noMultiLvlLbl val="0"/>
      </c:catAx>
      <c:valAx>
        <c:axId val="9457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Unduplicated Headcount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General</c:formatCode>
                <c:ptCount val="5"/>
                <c:pt idx="0">
                  <c:v>6204</c:v>
                </c:pt>
                <c:pt idx="1">
                  <c:v>5626</c:v>
                </c:pt>
                <c:pt idx="2">
                  <c:v>5276</c:v>
                </c:pt>
                <c:pt idx="3">
                  <c:v>5666</c:v>
                </c:pt>
                <c:pt idx="4">
                  <c:v>5850</c:v>
                </c:pt>
              </c:numCache>
            </c:numRef>
          </c:val>
        </c:ser>
        <c:dLbls>
          <c:showLegendKey val="0"/>
          <c:showVal val="0"/>
          <c:showCatName val="0"/>
          <c:showSerName val="0"/>
          <c:showPercent val="0"/>
          <c:showBubbleSize val="0"/>
        </c:dLbls>
        <c:gapWidth val="125"/>
        <c:overlap val="-23"/>
        <c:axId val="191696384"/>
        <c:axId val="94609984"/>
      </c:barChart>
      <c:catAx>
        <c:axId val="1916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09984"/>
        <c:crosses val="autoZero"/>
        <c:auto val="1"/>
        <c:lblAlgn val="ctr"/>
        <c:lblOffset val="100"/>
        <c:noMultiLvlLbl val="0"/>
      </c:catAx>
      <c:valAx>
        <c:axId val="94609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9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Credit FTES</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General</c:formatCode>
                <c:ptCount val="5"/>
                <c:pt idx="0">
                  <c:v>4601.6200000000008</c:v>
                </c:pt>
                <c:pt idx="1">
                  <c:v>4032.9700000000003</c:v>
                </c:pt>
                <c:pt idx="2">
                  <c:v>3918.7599999999998</c:v>
                </c:pt>
                <c:pt idx="3">
                  <c:v>4265.0200000000004</c:v>
                </c:pt>
                <c:pt idx="4">
                  <c:v>4618.67</c:v>
                </c:pt>
              </c:numCache>
            </c:numRef>
          </c:val>
        </c:ser>
        <c:dLbls>
          <c:showLegendKey val="0"/>
          <c:showVal val="1"/>
          <c:showCatName val="0"/>
          <c:showSerName val="0"/>
          <c:showPercent val="0"/>
          <c:showBubbleSize val="0"/>
        </c:dLbls>
        <c:gapWidth val="125"/>
        <c:overlap val="-27"/>
        <c:axId val="191917056"/>
        <c:axId val="94611712"/>
      </c:barChart>
      <c:catAx>
        <c:axId val="1919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1712"/>
        <c:crosses val="autoZero"/>
        <c:auto val="1"/>
        <c:lblAlgn val="ctr"/>
        <c:lblOffset val="100"/>
        <c:noMultiLvlLbl val="0"/>
      </c:catAx>
      <c:valAx>
        <c:axId val="94611712"/>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Enrolled at CHC in Fall 2014</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Percent Enrolled at CHC</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Yucaipa</c:v>
                </c:pt>
                <c:pt idx="1">
                  <c:v>Mentone</c:v>
                </c:pt>
                <c:pt idx="2">
                  <c:v>Redlands</c:v>
                </c:pt>
                <c:pt idx="3">
                  <c:v>Highland</c:v>
                </c:pt>
                <c:pt idx="4">
                  <c:v>Loma Linda</c:v>
                </c:pt>
                <c:pt idx="5">
                  <c:v>Running Springs</c:v>
                </c:pt>
                <c:pt idx="6">
                  <c:v>Lake Arrowhead</c:v>
                </c:pt>
              </c:strCache>
            </c:strRef>
          </c:cat>
          <c:val>
            <c:numRef>
              <c:f>Sheet1!$B$2:$B$8</c:f>
              <c:numCache>
                <c:formatCode>0.00%</c:formatCode>
                <c:ptCount val="7"/>
                <c:pt idx="0">
                  <c:v>0.72520000000000007</c:v>
                </c:pt>
                <c:pt idx="1">
                  <c:v>0.64490000000000014</c:v>
                </c:pt>
                <c:pt idx="2">
                  <c:v>0.54510000000000003</c:v>
                </c:pt>
                <c:pt idx="3">
                  <c:v>0.33790000000000009</c:v>
                </c:pt>
                <c:pt idx="4">
                  <c:v>0.33550000000000008</c:v>
                </c:pt>
                <c:pt idx="5">
                  <c:v>0.2909000000000001</c:v>
                </c:pt>
                <c:pt idx="6">
                  <c:v>0.21930000000000002</c:v>
                </c:pt>
              </c:numCache>
            </c:numRef>
          </c:val>
        </c:ser>
        <c:dLbls>
          <c:showLegendKey val="0"/>
          <c:showVal val="1"/>
          <c:showCatName val="0"/>
          <c:showSerName val="0"/>
          <c:showPercent val="0"/>
          <c:showBubbleSize val="0"/>
        </c:dLbls>
        <c:gapWidth val="125"/>
        <c:overlap val="-27"/>
        <c:axId val="191916544"/>
        <c:axId val="94613440"/>
      </c:barChart>
      <c:catAx>
        <c:axId val="1919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3440"/>
        <c:crosses val="autoZero"/>
        <c:auto val="1"/>
        <c:lblAlgn val="ctr"/>
        <c:lblOffset val="100"/>
        <c:noMultiLvlLbl val="0"/>
      </c:catAx>
      <c:valAx>
        <c:axId val="9461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Fill Rate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2010-2011</c:v>
                </c:pt>
                <c:pt idx="1">
                  <c:v>2011-2012</c:v>
                </c:pt>
                <c:pt idx="2">
                  <c:v>2012-2013</c:v>
                </c:pt>
                <c:pt idx="3">
                  <c:v>2013-2014</c:v>
                </c:pt>
                <c:pt idx="4">
                  <c:v>2014-2015</c:v>
                </c:pt>
              </c:strCache>
            </c:strRef>
          </c:cat>
          <c:val>
            <c:numRef>
              <c:f>Sheet1!$B$2:$B$6</c:f>
              <c:numCache>
                <c:formatCode>0.00%</c:formatCode>
                <c:ptCount val="5"/>
                <c:pt idx="0">
                  <c:v>0.86720000000000008</c:v>
                </c:pt>
                <c:pt idx="1">
                  <c:v>0.77760000000000007</c:v>
                </c:pt>
                <c:pt idx="2">
                  <c:v>0.8358000000000001</c:v>
                </c:pt>
                <c:pt idx="3">
                  <c:v>0.82680000000000009</c:v>
                </c:pt>
                <c:pt idx="4">
                  <c:v>0.74800000000000011</c:v>
                </c:pt>
              </c:numCache>
            </c:numRef>
          </c:val>
        </c:ser>
        <c:dLbls>
          <c:showLegendKey val="0"/>
          <c:showVal val="0"/>
          <c:showCatName val="0"/>
          <c:showSerName val="0"/>
          <c:showPercent val="0"/>
          <c:showBubbleSize val="0"/>
        </c:dLbls>
        <c:gapWidth val="125"/>
        <c:overlap val="-27"/>
        <c:axId val="186422784"/>
        <c:axId val="94615168"/>
      </c:barChart>
      <c:catAx>
        <c:axId val="18642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5168"/>
        <c:crosses val="autoZero"/>
        <c:auto val="1"/>
        <c:lblAlgn val="ctr"/>
        <c:lblOffset val="100"/>
        <c:noMultiLvlLbl val="0"/>
      </c:catAx>
      <c:valAx>
        <c:axId val="94615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2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Job Placement Rate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2009-2010</c:v>
                </c:pt>
                <c:pt idx="1">
                  <c:v>2010-2011</c:v>
                </c:pt>
                <c:pt idx="2">
                  <c:v>2011-2012</c:v>
                </c:pt>
                <c:pt idx="3">
                  <c:v>2012-2013</c:v>
                </c:pt>
                <c:pt idx="4">
                  <c:v>2013-2014</c:v>
                </c:pt>
              </c:strCache>
            </c:strRef>
          </c:cat>
          <c:val>
            <c:numRef>
              <c:f>Sheet1!$B$2:$B$6</c:f>
              <c:numCache>
                <c:formatCode>0.00%</c:formatCode>
                <c:ptCount val="5"/>
                <c:pt idx="0">
                  <c:v>0.85101580135440191</c:v>
                </c:pt>
                <c:pt idx="1">
                  <c:v>0.794044665012407</c:v>
                </c:pt>
                <c:pt idx="2">
                  <c:v>0.73123486682808725</c:v>
                </c:pt>
                <c:pt idx="3">
                  <c:v>0.73058252427184456</c:v>
                </c:pt>
                <c:pt idx="4">
                  <c:v>0.81310679611650483</c:v>
                </c:pt>
              </c:numCache>
            </c:numRef>
          </c:val>
        </c:ser>
        <c:dLbls>
          <c:showLegendKey val="0"/>
          <c:showVal val="0"/>
          <c:showCatName val="0"/>
          <c:showSerName val="0"/>
          <c:showPercent val="0"/>
          <c:showBubbleSize val="0"/>
        </c:dLbls>
        <c:gapWidth val="125"/>
        <c:axId val="191913984"/>
        <c:axId val="94616896"/>
      </c:barChart>
      <c:catAx>
        <c:axId val="19191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6896"/>
        <c:crosses val="autoZero"/>
        <c:auto val="1"/>
        <c:lblAlgn val="ctr"/>
        <c:lblOffset val="100"/>
        <c:noMultiLvlLbl val="0"/>
      </c:catAx>
      <c:valAx>
        <c:axId val="94616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Employees by Type</a:t>
            </a:r>
          </a:p>
        </c:rich>
      </c:tx>
      <c:overlay val="0"/>
      <c:spPr>
        <a:noFill/>
        <a:ln>
          <a:noFill/>
        </a:ln>
        <a:effectLst/>
      </c:spPr>
    </c:title>
    <c:autoTitleDeleted val="0"/>
    <c:plotArea>
      <c:layout/>
      <c:lineChart>
        <c:grouping val="standard"/>
        <c:varyColors val="0"/>
        <c:ser>
          <c:idx val="0"/>
          <c:order val="0"/>
          <c:tx>
            <c:strRef>
              <c:f>Sheet1!$B$1</c:f>
              <c:strCache>
                <c:ptCount val="1"/>
                <c:pt idx="0">
                  <c:v>Full-Time Faculty</c:v>
                </c:pt>
              </c:strCache>
            </c:strRef>
          </c:tx>
          <c:spPr>
            <a:ln w="28575" cap="rnd">
              <a:solidFill>
                <a:schemeClr val="accent1"/>
              </a:solidFill>
              <a:round/>
            </a:ln>
            <a:effectLst/>
          </c:spPr>
          <c:marker>
            <c:symbol val="none"/>
          </c:marker>
          <c:dLbls>
            <c:dLbl>
              <c:idx val="0"/>
              <c:layout>
                <c:manualLayout>
                  <c:x val="-3.0092592592592591E-2"/>
                  <c:y val="-3.65873015873015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633E-2"/>
                  <c:y val="-4.05555555555555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4.05555555555556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0092592592592678E-2"/>
                  <c:y val="-3.65873015873015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0092592592592591E-2"/>
                  <c:y val="-3.65873015873015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Fall 2010</c:v>
                </c:pt>
                <c:pt idx="1">
                  <c:v>Fall 2011</c:v>
                </c:pt>
                <c:pt idx="2">
                  <c:v>Fall 2012</c:v>
                </c:pt>
                <c:pt idx="3">
                  <c:v>Fall 2013</c:v>
                </c:pt>
                <c:pt idx="4">
                  <c:v>Fall 2014</c:v>
                </c:pt>
              </c:strCache>
            </c:strRef>
          </c:cat>
          <c:val>
            <c:numRef>
              <c:f>Sheet1!$B$2:$B$6</c:f>
              <c:numCache>
                <c:formatCode>General</c:formatCode>
                <c:ptCount val="5"/>
                <c:pt idx="0">
                  <c:v>68</c:v>
                </c:pt>
                <c:pt idx="1">
                  <c:v>66</c:v>
                </c:pt>
                <c:pt idx="2">
                  <c:v>69</c:v>
                </c:pt>
                <c:pt idx="3">
                  <c:v>71</c:v>
                </c:pt>
                <c:pt idx="4">
                  <c:v>68</c:v>
                </c:pt>
              </c:numCache>
            </c:numRef>
          </c:val>
          <c:smooth val="0"/>
        </c:ser>
        <c:ser>
          <c:idx val="1"/>
          <c:order val="1"/>
          <c:tx>
            <c:strRef>
              <c:f>Sheet1!$C$1</c:f>
              <c:strCache>
                <c:ptCount val="1"/>
                <c:pt idx="0">
                  <c:v>Adjunct Faculty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Sheet1!$C$2:$C$6</c:f>
              <c:numCache>
                <c:formatCode>General</c:formatCode>
                <c:ptCount val="5"/>
                <c:pt idx="0">
                  <c:v>140</c:v>
                </c:pt>
                <c:pt idx="1">
                  <c:v>143</c:v>
                </c:pt>
                <c:pt idx="2">
                  <c:v>130</c:v>
                </c:pt>
                <c:pt idx="3">
                  <c:v>157</c:v>
                </c:pt>
                <c:pt idx="4">
                  <c:v>201</c:v>
                </c:pt>
              </c:numCache>
            </c:numRef>
          </c:val>
          <c:smooth val="0"/>
        </c:ser>
        <c:ser>
          <c:idx val="2"/>
          <c:order val="2"/>
          <c:tx>
            <c:strRef>
              <c:f>Sheet1!$D$1</c:f>
              <c:strCache>
                <c:ptCount val="1"/>
                <c:pt idx="0">
                  <c:v>Classified</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Sheet1!$D$2:$D$6</c:f>
              <c:numCache>
                <c:formatCode>General</c:formatCode>
                <c:ptCount val="5"/>
                <c:pt idx="0">
                  <c:v>97</c:v>
                </c:pt>
                <c:pt idx="1">
                  <c:v>107</c:v>
                </c:pt>
                <c:pt idx="2">
                  <c:v>100</c:v>
                </c:pt>
                <c:pt idx="3">
                  <c:v>94</c:v>
                </c:pt>
                <c:pt idx="4">
                  <c:v>96</c:v>
                </c:pt>
              </c:numCache>
            </c:numRef>
          </c:val>
          <c:smooth val="0"/>
        </c:ser>
        <c:ser>
          <c:idx val="3"/>
          <c:order val="3"/>
          <c:tx>
            <c:strRef>
              <c:f>Sheet1!$E$1</c:f>
              <c:strCache>
                <c:ptCount val="1"/>
                <c:pt idx="0">
                  <c:v>Administrator</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Fall 2010</c:v>
                </c:pt>
                <c:pt idx="1">
                  <c:v>Fall 2011</c:v>
                </c:pt>
                <c:pt idx="2">
                  <c:v>Fall 2012</c:v>
                </c:pt>
                <c:pt idx="3">
                  <c:v>Fall 2013</c:v>
                </c:pt>
                <c:pt idx="4">
                  <c:v>Fall 2014</c:v>
                </c:pt>
              </c:strCache>
            </c:strRef>
          </c:cat>
          <c:val>
            <c:numRef>
              <c:f>Sheet1!$E$2:$E$6</c:f>
              <c:numCache>
                <c:formatCode>General</c:formatCode>
                <c:ptCount val="5"/>
                <c:pt idx="0">
                  <c:v>10</c:v>
                </c:pt>
                <c:pt idx="1">
                  <c:v>11</c:v>
                </c:pt>
                <c:pt idx="2">
                  <c:v>9</c:v>
                </c:pt>
                <c:pt idx="3">
                  <c:v>9</c:v>
                </c:pt>
                <c:pt idx="4">
                  <c:v>10</c:v>
                </c:pt>
              </c:numCache>
            </c:numRef>
          </c:val>
          <c:smooth val="0"/>
        </c:ser>
        <c:dLbls>
          <c:showLegendKey val="0"/>
          <c:showVal val="0"/>
          <c:showCatName val="0"/>
          <c:showSerName val="0"/>
          <c:showPercent val="0"/>
          <c:showBubbleSize val="0"/>
        </c:dLbls>
        <c:marker val="1"/>
        <c:smooth val="0"/>
        <c:axId val="186422272"/>
        <c:axId val="192447616"/>
      </c:lineChart>
      <c:catAx>
        <c:axId val="18642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47616"/>
        <c:crosses val="autoZero"/>
        <c:auto val="1"/>
        <c:lblAlgn val="ctr"/>
        <c:lblOffset val="100"/>
        <c:noMultiLvlLbl val="0"/>
      </c:catAx>
      <c:valAx>
        <c:axId val="19244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2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Level of Agreement and Satisfaction</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Spring 2014</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 feel a sense of belonging at Crafton</c:v>
                </c:pt>
                <c:pt idx="1">
                  <c:v>I am proud to tell other that I am a CHC student</c:v>
                </c:pt>
                <c:pt idx="2">
                  <c:v>Students are made to feel welcome at Crafton</c:v>
                </c:pt>
                <c:pt idx="3">
                  <c:v>I feel informed about what is happening on campus</c:v>
                </c:pt>
                <c:pt idx="4">
                  <c:v>Satisfaction with overall educational experience</c:v>
                </c:pt>
                <c:pt idx="5">
                  <c:v>Satisfaction with overall services for students</c:v>
                </c:pt>
                <c:pt idx="6">
                  <c:v>Satisfaction with cleanliness of campus</c:v>
                </c:pt>
                <c:pt idx="7">
                  <c:v>Satisfaction with maintenance of facilities</c:v>
                </c:pt>
                <c:pt idx="8">
                  <c:v>Satisfaction with care of existing landscaping</c:v>
                </c:pt>
                <c:pt idx="9">
                  <c:v>Satisfaction with safety</c:v>
                </c:pt>
              </c:strCache>
            </c:strRef>
          </c:cat>
          <c:val>
            <c:numRef>
              <c:f>Sheet1!$B$2:$B$11</c:f>
              <c:numCache>
                <c:formatCode>General</c:formatCode>
                <c:ptCount val="10"/>
                <c:pt idx="0">
                  <c:v>3.1</c:v>
                </c:pt>
                <c:pt idx="1">
                  <c:v>2.9699999999999998</c:v>
                </c:pt>
                <c:pt idx="2">
                  <c:v>3.13</c:v>
                </c:pt>
                <c:pt idx="3">
                  <c:v>2.75</c:v>
                </c:pt>
                <c:pt idx="4">
                  <c:v>3.2800000000000002</c:v>
                </c:pt>
                <c:pt idx="5">
                  <c:v>3.16</c:v>
                </c:pt>
                <c:pt idx="6">
                  <c:v>3.4099999999999997</c:v>
                </c:pt>
                <c:pt idx="7">
                  <c:v>3.25</c:v>
                </c:pt>
                <c:pt idx="8">
                  <c:v>3.42</c:v>
                </c:pt>
                <c:pt idx="9">
                  <c:v>3.11</c:v>
                </c:pt>
              </c:numCache>
            </c:numRef>
          </c:val>
        </c:ser>
        <c:ser>
          <c:idx val="1"/>
          <c:order val="1"/>
          <c:tx>
            <c:strRef>
              <c:f>Sheet1!$C$1</c:f>
              <c:strCache>
                <c:ptCount val="1"/>
                <c:pt idx="0">
                  <c:v>Spring 2012</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 feel a sense of belonging at Crafton</c:v>
                </c:pt>
                <c:pt idx="1">
                  <c:v>I am proud to tell other that I am a CHC student</c:v>
                </c:pt>
                <c:pt idx="2">
                  <c:v>Students are made to feel welcome at Crafton</c:v>
                </c:pt>
                <c:pt idx="3">
                  <c:v>I feel informed about what is happening on campus</c:v>
                </c:pt>
                <c:pt idx="4">
                  <c:v>Satisfaction with overall educational experience</c:v>
                </c:pt>
                <c:pt idx="5">
                  <c:v>Satisfaction with overall services for students</c:v>
                </c:pt>
                <c:pt idx="6">
                  <c:v>Satisfaction with cleanliness of campus</c:v>
                </c:pt>
                <c:pt idx="7">
                  <c:v>Satisfaction with maintenance of facilities</c:v>
                </c:pt>
                <c:pt idx="8">
                  <c:v>Satisfaction with care of existing landscaping</c:v>
                </c:pt>
                <c:pt idx="9">
                  <c:v>Satisfaction with safety</c:v>
                </c:pt>
              </c:strCache>
            </c:strRef>
          </c:cat>
          <c:val>
            <c:numRef>
              <c:f>Sheet1!$C$2:$C$11</c:f>
              <c:numCache>
                <c:formatCode>General</c:formatCode>
                <c:ptCount val="10"/>
                <c:pt idx="0">
                  <c:v>3</c:v>
                </c:pt>
                <c:pt idx="1">
                  <c:v>3</c:v>
                </c:pt>
                <c:pt idx="2">
                  <c:v>3.09</c:v>
                </c:pt>
                <c:pt idx="3">
                  <c:v>2.62</c:v>
                </c:pt>
                <c:pt idx="4">
                  <c:v>3.17</c:v>
                </c:pt>
                <c:pt idx="5">
                  <c:v>3.11</c:v>
                </c:pt>
                <c:pt idx="6">
                  <c:v>3.3499999999999996</c:v>
                </c:pt>
                <c:pt idx="7">
                  <c:v>3.15</c:v>
                </c:pt>
                <c:pt idx="8">
                  <c:v>3.4299999999999997</c:v>
                </c:pt>
                <c:pt idx="9">
                  <c:v>3.05</c:v>
                </c:pt>
              </c:numCache>
            </c:numRef>
          </c:val>
        </c:ser>
        <c:dLbls>
          <c:showLegendKey val="0"/>
          <c:showVal val="0"/>
          <c:showCatName val="0"/>
          <c:showSerName val="0"/>
          <c:showPercent val="0"/>
          <c:showBubbleSize val="0"/>
        </c:dLbls>
        <c:gapWidth val="102"/>
        <c:axId val="186424320"/>
        <c:axId val="192449344"/>
      </c:barChart>
      <c:catAx>
        <c:axId val="186424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49344"/>
        <c:crosses val="autoZero"/>
        <c:auto val="1"/>
        <c:lblAlgn val="ctr"/>
        <c:lblOffset val="100"/>
        <c:noMultiLvlLbl val="0"/>
      </c:catAx>
      <c:valAx>
        <c:axId val="1924493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243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Level of Satisfaction</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Fall 2014</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Outcomes Assessment Processes</c:v>
                </c:pt>
                <c:pt idx="1">
                  <c:v>Level of Inclusiveness</c:v>
                </c:pt>
                <c:pt idx="2">
                  <c:v>Planning &amp; Decision-Making Processes</c:v>
                </c:pt>
                <c:pt idx="3">
                  <c:v>Shared Governance Opportunities</c:v>
                </c:pt>
                <c:pt idx="4">
                  <c:v>My Work</c:v>
                </c:pt>
                <c:pt idx="5">
                  <c:v>Resource Allocation Processes</c:v>
                </c:pt>
              </c:strCache>
            </c:strRef>
          </c:cat>
          <c:val>
            <c:numRef>
              <c:f>Sheet1!$B$2:$B$7</c:f>
              <c:numCache>
                <c:formatCode>General</c:formatCode>
                <c:ptCount val="6"/>
                <c:pt idx="0">
                  <c:v>2.8</c:v>
                </c:pt>
                <c:pt idx="1">
                  <c:v>2.75</c:v>
                </c:pt>
                <c:pt idx="2">
                  <c:v>2.67</c:v>
                </c:pt>
                <c:pt idx="3">
                  <c:v>2.7</c:v>
                </c:pt>
                <c:pt idx="4">
                  <c:v>3.17</c:v>
                </c:pt>
                <c:pt idx="5">
                  <c:v>2.38</c:v>
                </c:pt>
              </c:numCache>
            </c:numRef>
          </c:val>
        </c:ser>
        <c:ser>
          <c:idx val="1"/>
          <c:order val="1"/>
          <c:tx>
            <c:strRef>
              <c:f>Sheet1!$C$1</c:f>
              <c:strCache>
                <c:ptCount val="1"/>
                <c:pt idx="0">
                  <c:v>Fall 2012</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Outcomes Assessment Processes</c:v>
                </c:pt>
                <c:pt idx="1">
                  <c:v>Level of Inclusiveness</c:v>
                </c:pt>
                <c:pt idx="2">
                  <c:v>Planning &amp; Decision-Making Processes</c:v>
                </c:pt>
                <c:pt idx="3">
                  <c:v>Shared Governance Opportunities</c:v>
                </c:pt>
                <c:pt idx="4">
                  <c:v>My Work</c:v>
                </c:pt>
                <c:pt idx="5">
                  <c:v>Resource Allocation Processes</c:v>
                </c:pt>
              </c:strCache>
            </c:strRef>
          </c:cat>
          <c:val>
            <c:numRef>
              <c:f>Sheet1!$C$2:$C$7</c:f>
              <c:numCache>
                <c:formatCode>General</c:formatCode>
                <c:ptCount val="6"/>
                <c:pt idx="0">
                  <c:v>3.05</c:v>
                </c:pt>
                <c:pt idx="1">
                  <c:v>2.9299999999999997</c:v>
                </c:pt>
                <c:pt idx="2">
                  <c:v>2.84</c:v>
                </c:pt>
                <c:pt idx="3">
                  <c:v>2.84</c:v>
                </c:pt>
                <c:pt idx="4">
                  <c:v>3.23</c:v>
                </c:pt>
                <c:pt idx="5">
                  <c:v>2.74</c:v>
                </c:pt>
              </c:numCache>
            </c:numRef>
          </c:val>
        </c:ser>
        <c:ser>
          <c:idx val="2"/>
          <c:order val="2"/>
          <c:tx>
            <c:strRef>
              <c:f>Sheet1!$D$1</c:f>
              <c:strCache>
                <c:ptCount val="1"/>
                <c:pt idx="0">
                  <c:v>Fall 2010</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Outcomes Assessment Processes</c:v>
                </c:pt>
                <c:pt idx="1">
                  <c:v>Level of Inclusiveness</c:v>
                </c:pt>
                <c:pt idx="2">
                  <c:v>Planning &amp; Decision-Making Processes</c:v>
                </c:pt>
                <c:pt idx="3">
                  <c:v>Shared Governance Opportunities</c:v>
                </c:pt>
                <c:pt idx="4">
                  <c:v>My Work</c:v>
                </c:pt>
                <c:pt idx="5">
                  <c:v>Resource Allocation Processes</c:v>
                </c:pt>
              </c:strCache>
            </c:strRef>
          </c:cat>
          <c:val>
            <c:numRef>
              <c:f>Sheet1!$D$2:$D$7</c:f>
              <c:numCache>
                <c:formatCode>General</c:formatCode>
                <c:ptCount val="6"/>
                <c:pt idx="0">
                  <c:v>2.5099999999999998</c:v>
                </c:pt>
                <c:pt idx="1">
                  <c:v>2.5499999999999998</c:v>
                </c:pt>
                <c:pt idx="2">
                  <c:v>2.3199999999999994</c:v>
                </c:pt>
                <c:pt idx="3">
                  <c:v>2.3699999999999997</c:v>
                </c:pt>
                <c:pt idx="4">
                  <c:v>2.9099999999999997</c:v>
                </c:pt>
                <c:pt idx="5">
                  <c:v>2.3199999999999994</c:v>
                </c:pt>
              </c:numCache>
            </c:numRef>
          </c:val>
        </c:ser>
        <c:dLbls>
          <c:showLegendKey val="0"/>
          <c:showVal val="1"/>
          <c:showCatName val="0"/>
          <c:showSerName val="0"/>
          <c:showPercent val="0"/>
          <c:showBubbleSize val="0"/>
        </c:dLbls>
        <c:gapWidth val="182"/>
        <c:axId val="192591360"/>
        <c:axId val="192451072"/>
      </c:barChart>
      <c:catAx>
        <c:axId val="19259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51072"/>
        <c:crosses val="autoZero"/>
        <c:auto val="1"/>
        <c:lblAlgn val="ctr"/>
        <c:lblOffset val="100"/>
        <c:noMultiLvlLbl val="0"/>
      </c:catAx>
      <c:valAx>
        <c:axId val="192451072"/>
        <c:scaling>
          <c:orientation val="minMax"/>
          <c:max val="4"/>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5913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55317526650058E-2"/>
          <c:y val="9.959790379737897E-2"/>
          <c:w val="0.90734468247335054"/>
          <c:h val="0.78793676043019878"/>
        </c:manualLayout>
      </c:layout>
      <c:barChart>
        <c:barDir val="col"/>
        <c:grouping val="clustered"/>
        <c:varyColors val="0"/>
        <c:ser>
          <c:idx val="0"/>
          <c:order val="0"/>
          <c:tx>
            <c:strRef>
              <c:f>'Instructional Method'!$A$47</c:f>
              <c:strCache>
                <c:ptCount val="1"/>
                <c:pt idx="0">
                  <c:v>Face-to-Face Only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'Instructional Method'!$B$46:$F$46</c:f>
              <c:strCache>
                <c:ptCount val="5"/>
                <c:pt idx="0">
                  <c:v>2010-2011</c:v>
                </c:pt>
                <c:pt idx="1">
                  <c:v>2011-2012</c:v>
                </c:pt>
                <c:pt idx="2">
                  <c:v>2012-2013</c:v>
                </c:pt>
                <c:pt idx="3">
                  <c:v>2013-2014</c:v>
                </c:pt>
                <c:pt idx="4">
                  <c:v>2014-2015</c:v>
                </c:pt>
              </c:strCache>
            </c:strRef>
          </c:cat>
          <c:val>
            <c:numRef>
              <c:f>'Instructional Method'!$B$47:$F$47</c:f>
              <c:numCache>
                <c:formatCode>#,##0</c:formatCode>
                <c:ptCount val="5"/>
                <c:pt idx="0">
                  <c:v>7412</c:v>
                </c:pt>
                <c:pt idx="1">
                  <c:v>6514</c:v>
                </c:pt>
                <c:pt idx="2">
                  <c:v>6141</c:v>
                </c:pt>
                <c:pt idx="3">
                  <c:v>6357</c:v>
                </c:pt>
                <c:pt idx="4">
                  <c:v>6151</c:v>
                </c:pt>
              </c:numCache>
            </c:numRef>
          </c:val>
        </c:ser>
        <c:ser>
          <c:idx val="1"/>
          <c:order val="1"/>
          <c:tx>
            <c:strRef>
              <c:f>'Instructional Method'!$A$48</c:f>
              <c:strCache>
                <c:ptCount val="1"/>
                <c:pt idx="0">
                  <c:v>Online Only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'Instructional Method'!$B$46:$F$46</c:f>
              <c:strCache>
                <c:ptCount val="5"/>
                <c:pt idx="0">
                  <c:v>2010-2011</c:v>
                </c:pt>
                <c:pt idx="1">
                  <c:v>2011-2012</c:v>
                </c:pt>
                <c:pt idx="2">
                  <c:v>2012-2013</c:v>
                </c:pt>
                <c:pt idx="3">
                  <c:v>2013-2014</c:v>
                </c:pt>
                <c:pt idx="4">
                  <c:v>2014-2015</c:v>
                </c:pt>
              </c:strCache>
            </c:strRef>
          </c:cat>
          <c:val>
            <c:numRef>
              <c:f>'Instructional Method'!$B$48:$F$48</c:f>
              <c:numCache>
                <c:formatCode>#,##0</c:formatCode>
                <c:ptCount val="5"/>
                <c:pt idx="0">
                  <c:v>68</c:v>
                </c:pt>
                <c:pt idx="1">
                  <c:v>81</c:v>
                </c:pt>
                <c:pt idx="2">
                  <c:v>64</c:v>
                </c:pt>
                <c:pt idx="3">
                  <c:v>129</c:v>
                </c:pt>
                <c:pt idx="4">
                  <c:v>260</c:v>
                </c:pt>
              </c:numCache>
            </c:numRef>
          </c:val>
        </c:ser>
        <c:ser>
          <c:idx val="2"/>
          <c:order val="2"/>
          <c:tx>
            <c:strRef>
              <c:f>'Instructional Method'!$A$49</c:f>
              <c:strCache>
                <c:ptCount val="1"/>
                <c:pt idx="0">
                  <c:v>Hybrid Only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'Instructional Method'!$B$46:$F$46</c:f>
              <c:strCache>
                <c:ptCount val="5"/>
                <c:pt idx="0">
                  <c:v>2010-2011</c:v>
                </c:pt>
                <c:pt idx="1">
                  <c:v>2011-2012</c:v>
                </c:pt>
                <c:pt idx="2">
                  <c:v>2012-2013</c:v>
                </c:pt>
                <c:pt idx="3">
                  <c:v>2013-2014</c:v>
                </c:pt>
                <c:pt idx="4">
                  <c:v>2014-2015</c:v>
                </c:pt>
              </c:strCache>
            </c:strRef>
          </c:cat>
          <c:val>
            <c:numRef>
              <c:f>'Instructional Method'!$B$49:$F$49</c:f>
              <c:numCache>
                <c:formatCode>#,##0</c:formatCode>
                <c:ptCount val="5"/>
                <c:pt idx="0">
                  <c:v>11</c:v>
                </c:pt>
                <c:pt idx="1">
                  <c:v>18</c:v>
                </c:pt>
                <c:pt idx="2">
                  <c:v>7</c:v>
                </c:pt>
                <c:pt idx="3">
                  <c:v>0</c:v>
                </c:pt>
                <c:pt idx="4">
                  <c:v>3</c:v>
                </c:pt>
              </c:numCache>
            </c:numRef>
          </c:val>
        </c:ser>
        <c:ser>
          <c:idx val="3"/>
          <c:order val="3"/>
          <c:tx>
            <c:strRef>
              <c:f>'Instructional Method'!$A$50</c:f>
              <c:strCache>
                <c:ptCount val="1"/>
                <c:pt idx="0">
                  <c:v>Multiple Methods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'Instructional Method'!$B$46:$F$46</c:f>
              <c:strCache>
                <c:ptCount val="5"/>
                <c:pt idx="0">
                  <c:v>2010-2011</c:v>
                </c:pt>
                <c:pt idx="1">
                  <c:v>2011-2012</c:v>
                </c:pt>
                <c:pt idx="2">
                  <c:v>2012-2013</c:v>
                </c:pt>
                <c:pt idx="3">
                  <c:v>2013-2014</c:v>
                </c:pt>
                <c:pt idx="4">
                  <c:v>2014-2015</c:v>
                </c:pt>
              </c:strCache>
            </c:strRef>
          </c:cat>
          <c:val>
            <c:numRef>
              <c:f>'Instructional Method'!$B$50:$F$50</c:f>
              <c:numCache>
                <c:formatCode>#,##0</c:formatCode>
                <c:ptCount val="5"/>
                <c:pt idx="0">
                  <c:v>1217</c:v>
                </c:pt>
                <c:pt idx="1">
                  <c:v>1061</c:v>
                </c:pt>
                <c:pt idx="2">
                  <c:v>884</c:v>
                </c:pt>
                <c:pt idx="3">
                  <c:v>1042</c:v>
                </c:pt>
                <c:pt idx="4">
                  <c:v>1626</c:v>
                </c:pt>
              </c:numCache>
            </c:numRef>
          </c:val>
        </c:ser>
        <c:dLbls>
          <c:showLegendKey val="0"/>
          <c:showVal val="1"/>
          <c:showCatName val="0"/>
          <c:showSerName val="0"/>
          <c:showPercent val="0"/>
          <c:showBubbleSize val="0"/>
        </c:dLbls>
        <c:gapWidth val="150"/>
        <c:axId val="151447040"/>
        <c:axId val="151357696"/>
      </c:barChart>
      <c:catAx>
        <c:axId val="151447040"/>
        <c:scaling>
          <c:orientation val="minMax"/>
        </c:scaling>
        <c:delete val="0"/>
        <c:axPos val="b"/>
        <c:majorGridlines/>
        <c:numFmt formatCode="General" sourceLinked="0"/>
        <c:majorTickMark val="out"/>
        <c:minorTickMark val="none"/>
        <c:tickLblPos val="nextTo"/>
        <c:crossAx val="151357696"/>
        <c:crosses val="autoZero"/>
        <c:auto val="1"/>
        <c:lblAlgn val="ctr"/>
        <c:lblOffset val="100"/>
        <c:noMultiLvlLbl val="0"/>
      </c:catAx>
      <c:valAx>
        <c:axId val="151357696"/>
        <c:scaling>
          <c:orientation val="minMax"/>
        </c:scaling>
        <c:delete val="0"/>
        <c:axPos val="l"/>
        <c:title>
          <c:tx>
            <c:rich>
              <a:bodyPr rot="-5400000" vert="horz"/>
              <a:lstStyle/>
              <a:p>
                <a:pPr>
                  <a:defRPr/>
                </a:pPr>
                <a:r>
                  <a:rPr lang="en-US"/>
                  <a:t>Undulicated Enrollment</a:t>
                </a:r>
              </a:p>
            </c:rich>
          </c:tx>
          <c:layout/>
          <c:overlay val="0"/>
        </c:title>
        <c:numFmt formatCode="#,##0" sourceLinked="1"/>
        <c:majorTickMark val="out"/>
        <c:minorTickMark val="none"/>
        <c:tickLblPos val="nextTo"/>
        <c:crossAx val="151447040"/>
        <c:crosses val="autoZero"/>
        <c:crossBetween val="between"/>
      </c:valAx>
    </c:plotArea>
    <c:legend>
      <c:legendPos val="t"/>
      <c:layout>
        <c:manualLayout>
          <c:xMode val="edge"/>
          <c:yMode val="edge"/>
          <c:x val="0.17720377131629508"/>
          <c:y val="0"/>
          <c:w val="0.63814366779571563"/>
          <c:h val="8.118030700707865E-2"/>
        </c:manualLayout>
      </c:layout>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Level of Agreement</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Spring 2015</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Collaborative</c:v>
                </c:pt>
                <c:pt idx="1">
                  <c:v>Transparent</c:v>
                </c:pt>
                <c:pt idx="2">
                  <c:v>Evidence Based</c:v>
                </c:pt>
                <c:pt idx="3">
                  <c:v>Effective</c:v>
                </c:pt>
                <c:pt idx="4">
                  <c:v>Efficient</c:v>
                </c:pt>
              </c:strCache>
            </c:strRef>
          </c:cat>
          <c:val>
            <c:numRef>
              <c:f>Sheet1!$B$2:$B$6</c:f>
              <c:numCache>
                <c:formatCode>General</c:formatCode>
                <c:ptCount val="5"/>
                <c:pt idx="0">
                  <c:v>4.78</c:v>
                </c:pt>
                <c:pt idx="1">
                  <c:v>4.67</c:v>
                </c:pt>
                <c:pt idx="2">
                  <c:v>4.6899999999999995</c:v>
                </c:pt>
                <c:pt idx="3">
                  <c:v>4.45</c:v>
                </c:pt>
                <c:pt idx="4">
                  <c:v>4.4300000000000006</c:v>
                </c:pt>
              </c:numCache>
            </c:numRef>
          </c:val>
        </c:ser>
        <c:ser>
          <c:idx val="1"/>
          <c:order val="1"/>
          <c:tx>
            <c:strRef>
              <c:f>Sheet1!$C$1</c:f>
              <c:strCache>
                <c:ptCount val="1"/>
                <c:pt idx="0">
                  <c:v>Spring 2014</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Collaborative</c:v>
                </c:pt>
                <c:pt idx="1">
                  <c:v>Transparent</c:v>
                </c:pt>
                <c:pt idx="2">
                  <c:v>Evidence Based</c:v>
                </c:pt>
                <c:pt idx="3">
                  <c:v>Effective</c:v>
                </c:pt>
                <c:pt idx="4">
                  <c:v>Efficient</c:v>
                </c:pt>
              </c:strCache>
            </c:strRef>
          </c:cat>
          <c:val>
            <c:numRef>
              <c:f>Sheet1!$C$2:$C$6</c:f>
              <c:numCache>
                <c:formatCode>General</c:formatCode>
                <c:ptCount val="5"/>
                <c:pt idx="0">
                  <c:v>4.6499999999999995</c:v>
                </c:pt>
                <c:pt idx="1">
                  <c:v>4.6099999999999994</c:v>
                </c:pt>
                <c:pt idx="2">
                  <c:v>4.38</c:v>
                </c:pt>
                <c:pt idx="3">
                  <c:v>4.4300000000000006</c:v>
                </c:pt>
                <c:pt idx="4">
                  <c:v>4.3199999999999994</c:v>
                </c:pt>
              </c:numCache>
            </c:numRef>
          </c:val>
        </c:ser>
        <c:ser>
          <c:idx val="2"/>
          <c:order val="2"/>
          <c:tx>
            <c:strRef>
              <c:f>Sheet1!$D$1</c:f>
              <c:strCache>
                <c:ptCount val="1"/>
                <c:pt idx="0">
                  <c:v>Spring 2013</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Collaborative</c:v>
                </c:pt>
                <c:pt idx="1">
                  <c:v>Transparent</c:v>
                </c:pt>
                <c:pt idx="2">
                  <c:v>Evidence Based</c:v>
                </c:pt>
                <c:pt idx="3">
                  <c:v>Effective</c:v>
                </c:pt>
                <c:pt idx="4">
                  <c:v>Efficient</c:v>
                </c:pt>
              </c:strCache>
            </c:strRef>
          </c:cat>
          <c:val>
            <c:numRef>
              <c:f>Sheet1!$D$2:$D$6</c:f>
              <c:numCache>
                <c:formatCode>General</c:formatCode>
                <c:ptCount val="5"/>
                <c:pt idx="0">
                  <c:v>4.6199999999999992</c:v>
                </c:pt>
                <c:pt idx="1">
                  <c:v>4.5199999999999996</c:v>
                </c:pt>
                <c:pt idx="2">
                  <c:v>4.53</c:v>
                </c:pt>
                <c:pt idx="3">
                  <c:v>4.4400000000000004</c:v>
                </c:pt>
                <c:pt idx="4">
                  <c:v>4.38</c:v>
                </c:pt>
              </c:numCache>
            </c:numRef>
          </c:val>
        </c:ser>
        <c:ser>
          <c:idx val="3"/>
          <c:order val="3"/>
          <c:tx>
            <c:strRef>
              <c:f>Sheet1!$E$1</c:f>
              <c:strCache>
                <c:ptCount val="1"/>
                <c:pt idx="0">
                  <c:v>Spring 2012</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Collaborative</c:v>
                </c:pt>
                <c:pt idx="1">
                  <c:v>Transparent</c:v>
                </c:pt>
                <c:pt idx="2">
                  <c:v>Evidence Based</c:v>
                </c:pt>
                <c:pt idx="3">
                  <c:v>Effective</c:v>
                </c:pt>
                <c:pt idx="4">
                  <c:v>Efficient</c:v>
                </c:pt>
              </c:strCache>
            </c:strRef>
          </c:cat>
          <c:val>
            <c:numRef>
              <c:f>Sheet1!$E$2:$E$6</c:f>
              <c:numCache>
                <c:formatCode>General</c:formatCode>
                <c:ptCount val="5"/>
                <c:pt idx="0">
                  <c:v>4.54</c:v>
                </c:pt>
                <c:pt idx="1">
                  <c:v>4.34</c:v>
                </c:pt>
                <c:pt idx="2">
                  <c:v>4.41</c:v>
                </c:pt>
                <c:pt idx="3">
                  <c:v>4.4000000000000004</c:v>
                </c:pt>
                <c:pt idx="4">
                  <c:v>4.1599999999999993</c:v>
                </c:pt>
              </c:numCache>
            </c:numRef>
          </c:val>
        </c:ser>
        <c:ser>
          <c:idx val="4"/>
          <c:order val="4"/>
          <c:tx>
            <c:strRef>
              <c:f>Sheet1!$F$1</c:f>
              <c:strCache>
                <c:ptCount val="1"/>
                <c:pt idx="0">
                  <c:v>Spring 2011</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Collaborative</c:v>
                </c:pt>
                <c:pt idx="1">
                  <c:v>Transparent</c:v>
                </c:pt>
                <c:pt idx="2">
                  <c:v>Evidence Based</c:v>
                </c:pt>
                <c:pt idx="3">
                  <c:v>Effective</c:v>
                </c:pt>
                <c:pt idx="4">
                  <c:v>Efficient</c:v>
                </c:pt>
              </c:strCache>
            </c:strRef>
          </c:cat>
          <c:val>
            <c:numRef>
              <c:f>Sheet1!$F$2:$F$6</c:f>
              <c:numCache>
                <c:formatCode>General</c:formatCode>
                <c:ptCount val="5"/>
                <c:pt idx="0">
                  <c:v>4.6599999999999993</c:v>
                </c:pt>
                <c:pt idx="1">
                  <c:v>4.54</c:v>
                </c:pt>
                <c:pt idx="2">
                  <c:v>4.4300000000000006</c:v>
                </c:pt>
                <c:pt idx="3">
                  <c:v>4.38</c:v>
                </c:pt>
                <c:pt idx="4">
                  <c:v>4.26</c:v>
                </c:pt>
              </c:numCache>
            </c:numRef>
          </c:val>
        </c:ser>
        <c:dLbls>
          <c:showLegendKey val="0"/>
          <c:showVal val="1"/>
          <c:showCatName val="0"/>
          <c:showSerName val="0"/>
          <c:showPercent val="0"/>
          <c:showBubbleSize val="0"/>
        </c:dLbls>
        <c:gapWidth val="182"/>
        <c:axId val="186423808"/>
        <c:axId val="192452800"/>
      </c:barChart>
      <c:catAx>
        <c:axId val="186423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52800"/>
        <c:crosses val="autoZero"/>
        <c:auto val="1"/>
        <c:lblAlgn val="ctr"/>
        <c:lblOffset val="100"/>
        <c:noMultiLvlLbl val="0"/>
      </c:catAx>
      <c:valAx>
        <c:axId val="192452800"/>
        <c:scaling>
          <c:orientation val="minMax"/>
          <c:max val="5"/>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238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2691554051617"/>
          <c:y val="0.13351282702565395"/>
          <c:w val="0.88829034800402018"/>
          <c:h val="0.76496055295140941"/>
        </c:manualLayout>
      </c:layout>
      <c:barChart>
        <c:barDir val="col"/>
        <c:grouping val="stacked"/>
        <c:varyColors val="0"/>
        <c:ser>
          <c:idx val="0"/>
          <c:order val="0"/>
          <c:tx>
            <c:strRef>
              <c:f>'Enrollment Status'!$A$60</c:f>
              <c:strCache>
                <c:ptCount val="1"/>
                <c:pt idx="0">
                  <c:v>Under 18 (or K-12 Special Admit)</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Status'!$B$59:$F$59</c:f>
              <c:strCache>
                <c:ptCount val="5"/>
                <c:pt idx="0">
                  <c:v>2010-2011</c:v>
                </c:pt>
                <c:pt idx="1">
                  <c:v>2011-2012</c:v>
                </c:pt>
                <c:pt idx="2">
                  <c:v>2012-2013</c:v>
                </c:pt>
                <c:pt idx="3">
                  <c:v>2013-2014</c:v>
                </c:pt>
                <c:pt idx="4">
                  <c:v>2014-2015</c:v>
                </c:pt>
              </c:strCache>
            </c:strRef>
          </c:cat>
          <c:val>
            <c:numRef>
              <c:f>'Enrollment Status'!$B$60:$F$60</c:f>
              <c:numCache>
                <c:formatCode>#,##0</c:formatCode>
                <c:ptCount val="5"/>
                <c:pt idx="0">
                  <c:v>733</c:v>
                </c:pt>
                <c:pt idx="1">
                  <c:v>768</c:v>
                </c:pt>
                <c:pt idx="2">
                  <c:v>734</c:v>
                </c:pt>
                <c:pt idx="3">
                  <c:v>624</c:v>
                </c:pt>
                <c:pt idx="4">
                  <c:v>588</c:v>
                </c:pt>
              </c:numCache>
            </c:numRef>
          </c:val>
        </c:ser>
        <c:ser>
          <c:idx val="1"/>
          <c:order val="1"/>
          <c:tx>
            <c:strRef>
              <c:f>'Enrollment Status'!$A$61</c:f>
              <c:strCache>
                <c:ptCount val="1"/>
                <c:pt idx="0">
                  <c:v>First-Time College Student</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Status'!$B$59:$F$59</c:f>
              <c:strCache>
                <c:ptCount val="5"/>
                <c:pt idx="0">
                  <c:v>2010-2011</c:v>
                </c:pt>
                <c:pt idx="1">
                  <c:v>2011-2012</c:v>
                </c:pt>
                <c:pt idx="2">
                  <c:v>2012-2013</c:v>
                </c:pt>
                <c:pt idx="3">
                  <c:v>2013-2014</c:v>
                </c:pt>
                <c:pt idx="4">
                  <c:v>2014-2015</c:v>
                </c:pt>
              </c:strCache>
            </c:strRef>
          </c:cat>
          <c:val>
            <c:numRef>
              <c:f>'Enrollment Status'!$B$61:$F$61</c:f>
              <c:numCache>
                <c:formatCode>#,##0</c:formatCode>
                <c:ptCount val="5"/>
                <c:pt idx="0">
                  <c:v>390</c:v>
                </c:pt>
                <c:pt idx="1">
                  <c:v>937</c:v>
                </c:pt>
                <c:pt idx="2">
                  <c:v>906</c:v>
                </c:pt>
                <c:pt idx="3">
                  <c:v>1000</c:v>
                </c:pt>
                <c:pt idx="4">
                  <c:v>983</c:v>
                </c:pt>
              </c:numCache>
            </c:numRef>
          </c:val>
        </c:ser>
        <c:ser>
          <c:idx val="2"/>
          <c:order val="2"/>
          <c:tx>
            <c:strRef>
              <c:f>'Enrollment Status'!$A$62</c:f>
              <c:strCache>
                <c:ptCount val="1"/>
                <c:pt idx="0">
                  <c:v>Continuing Student</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Status'!$B$59:$F$59</c:f>
              <c:strCache>
                <c:ptCount val="5"/>
                <c:pt idx="0">
                  <c:v>2010-2011</c:v>
                </c:pt>
                <c:pt idx="1">
                  <c:v>2011-2012</c:v>
                </c:pt>
                <c:pt idx="2">
                  <c:v>2012-2013</c:v>
                </c:pt>
                <c:pt idx="3">
                  <c:v>2013-2014</c:v>
                </c:pt>
                <c:pt idx="4">
                  <c:v>2014-2015</c:v>
                </c:pt>
              </c:strCache>
            </c:strRef>
          </c:cat>
          <c:val>
            <c:numRef>
              <c:f>'Enrollment Status'!$B$62:$F$62</c:f>
              <c:numCache>
                <c:formatCode>#,##0</c:formatCode>
                <c:ptCount val="5"/>
                <c:pt idx="0">
                  <c:v>4608</c:v>
                </c:pt>
                <c:pt idx="1">
                  <c:v>2836</c:v>
                </c:pt>
                <c:pt idx="2">
                  <c:v>3857</c:v>
                </c:pt>
                <c:pt idx="3">
                  <c:v>4043</c:v>
                </c:pt>
                <c:pt idx="4">
                  <c:v>4457</c:v>
                </c:pt>
              </c:numCache>
            </c:numRef>
          </c:val>
        </c:ser>
        <c:ser>
          <c:idx val="3"/>
          <c:order val="3"/>
          <c:tx>
            <c:strRef>
              <c:f>'Enrollment Status'!$A$63</c:f>
              <c:strCache>
                <c:ptCount val="1"/>
                <c:pt idx="0">
                  <c:v>Returning Student</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Status'!$B$59:$F$59</c:f>
              <c:strCache>
                <c:ptCount val="5"/>
                <c:pt idx="0">
                  <c:v>2010-2011</c:v>
                </c:pt>
                <c:pt idx="1">
                  <c:v>2011-2012</c:v>
                </c:pt>
                <c:pt idx="2">
                  <c:v>2012-2013</c:v>
                </c:pt>
                <c:pt idx="3">
                  <c:v>2013-2014</c:v>
                </c:pt>
                <c:pt idx="4">
                  <c:v>2014-2015</c:v>
                </c:pt>
              </c:strCache>
            </c:strRef>
          </c:cat>
          <c:val>
            <c:numRef>
              <c:f>'Enrollment Status'!$B$63:$F$63</c:f>
              <c:numCache>
                <c:formatCode>#,##0</c:formatCode>
                <c:ptCount val="5"/>
                <c:pt idx="0">
                  <c:v>2177</c:v>
                </c:pt>
                <c:pt idx="1">
                  <c:v>997</c:v>
                </c:pt>
                <c:pt idx="2">
                  <c:v>1263</c:v>
                </c:pt>
                <c:pt idx="3">
                  <c:v>1336</c:v>
                </c:pt>
                <c:pt idx="4">
                  <c:v>1401</c:v>
                </c:pt>
              </c:numCache>
            </c:numRef>
          </c:val>
        </c:ser>
        <c:ser>
          <c:idx val="4"/>
          <c:order val="4"/>
          <c:tx>
            <c:strRef>
              <c:f>'Enrollment Status'!$A$64</c:f>
              <c:strCache>
                <c:ptCount val="1"/>
                <c:pt idx="0">
                  <c:v>All Other or Unknown</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Status'!$B$59:$F$59</c:f>
              <c:strCache>
                <c:ptCount val="5"/>
                <c:pt idx="0">
                  <c:v>2010-2011</c:v>
                </c:pt>
                <c:pt idx="1">
                  <c:v>2011-2012</c:v>
                </c:pt>
                <c:pt idx="2">
                  <c:v>2012-2013</c:v>
                </c:pt>
                <c:pt idx="3">
                  <c:v>2013-2014</c:v>
                </c:pt>
                <c:pt idx="4">
                  <c:v>2014-2015</c:v>
                </c:pt>
              </c:strCache>
            </c:strRef>
          </c:cat>
          <c:val>
            <c:numRef>
              <c:f>'Enrollment Status'!$B$64:$F$64</c:f>
              <c:numCache>
                <c:formatCode>#,##0</c:formatCode>
                <c:ptCount val="5"/>
                <c:pt idx="0">
                  <c:v>800</c:v>
                </c:pt>
                <c:pt idx="1">
                  <c:v>2136</c:v>
                </c:pt>
                <c:pt idx="2">
                  <c:v>336</c:v>
                </c:pt>
                <c:pt idx="3">
                  <c:v>525</c:v>
                </c:pt>
                <c:pt idx="4">
                  <c:v>611</c:v>
                </c:pt>
              </c:numCache>
            </c:numRef>
          </c:val>
        </c:ser>
        <c:dLbls>
          <c:showLegendKey val="0"/>
          <c:showVal val="1"/>
          <c:showCatName val="0"/>
          <c:showSerName val="0"/>
          <c:showPercent val="0"/>
          <c:showBubbleSize val="0"/>
        </c:dLbls>
        <c:gapWidth val="150"/>
        <c:overlap val="100"/>
        <c:axId val="236520448"/>
        <c:axId val="151359424"/>
      </c:barChart>
      <c:catAx>
        <c:axId val="236520448"/>
        <c:scaling>
          <c:orientation val="minMax"/>
        </c:scaling>
        <c:delete val="0"/>
        <c:axPos val="b"/>
        <c:majorGridlines/>
        <c:numFmt formatCode="General" sourceLinked="0"/>
        <c:majorTickMark val="out"/>
        <c:minorTickMark val="none"/>
        <c:tickLblPos val="nextTo"/>
        <c:crossAx val="151359424"/>
        <c:crosses val="autoZero"/>
        <c:auto val="1"/>
        <c:lblAlgn val="ctr"/>
        <c:lblOffset val="100"/>
        <c:noMultiLvlLbl val="0"/>
      </c:catAx>
      <c:valAx>
        <c:axId val="151359424"/>
        <c:scaling>
          <c:orientation val="minMax"/>
        </c:scaling>
        <c:delete val="0"/>
        <c:axPos val="l"/>
        <c:title>
          <c:tx>
            <c:rich>
              <a:bodyPr rot="-5400000" vert="horz"/>
              <a:lstStyle/>
              <a:p>
                <a:pPr>
                  <a:defRPr/>
                </a:pPr>
                <a:r>
                  <a:rPr lang="en-US"/>
                  <a:t>Unduplicated Enrollment</a:t>
                </a:r>
              </a:p>
            </c:rich>
          </c:tx>
          <c:layout/>
          <c:overlay val="0"/>
        </c:title>
        <c:numFmt formatCode="#,##0" sourceLinked="1"/>
        <c:majorTickMark val="out"/>
        <c:minorTickMark val="none"/>
        <c:tickLblPos val="nextTo"/>
        <c:crossAx val="236520448"/>
        <c:crosses val="autoZero"/>
        <c:crossBetween val="between"/>
      </c:valAx>
    </c:plotArea>
    <c:legend>
      <c:legendPos val="t"/>
      <c:layout>
        <c:manualLayout>
          <c:xMode val="edge"/>
          <c:yMode val="edge"/>
          <c:x val="6.6202613103114177E-2"/>
          <c:y val="0"/>
          <c:w val="0.90616226690671886"/>
          <c:h val="0.11580200362278655"/>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5252833700499"/>
          <c:y val="0.10677895395525901"/>
          <c:w val="0.89274747166299551"/>
          <c:h val="0.79586275225530578"/>
        </c:manualLayout>
      </c:layout>
      <c:barChart>
        <c:barDir val="col"/>
        <c:grouping val="stacked"/>
        <c:varyColors val="0"/>
        <c:ser>
          <c:idx val="0"/>
          <c:order val="0"/>
          <c:tx>
            <c:strRef>
              <c:f>'WSCH by College and Year'!$A$20</c:f>
              <c:strCache>
                <c:ptCount val="1"/>
                <c:pt idx="0">
                  <c:v>Summer</c:v>
                </c:pt>
              </c:strCache>
            </c:strRef>
          </c:tx>
          <c:invertIfNegative val="0"/>
          <c:dLbls>
            <c:dLbl>
              <c:idx val="1"/>
              <c:layout>
                <c:manualLayout>
                  <c:x val="-6.7712360286422392E-17"/>
                  <c:y val="-1.32450331125827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6271543643250567E-3"/>
                  <c:y val="-1.209160677460038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'WSCH by College and Year'!$B$19:$F$19</c:f>
              <c:strCache>
                <c:ptCount val="5"/>
                <c:pt idx="0">
                  <c:v>2010-11</c:v>
                </c:pt>
                <c:pt idx="1">
                  <c:v>2011-12</c:v>
                </c:pt>
                <c:pt idx="2">
                  <c:v>2012-13</c:v>
                </c:pt>
                <c:pt idx="3">
                  <c:v>2013-14</c:v>
                </c:pt>
                <c:pt idx="4">
                  <c:v>2014-15</c:v>
                </c:pt>
              </c:strCache>
            </c:strRef>
          </c:cat>
          <c:val>
            <c:numRef>
              <c:f>'WSCH by College and Year'!$B$20:$F$20</c:f>
              <c:numCache>
                <c:formatCode>#,##0</c:formatCode>
                <c:ptCount val="5"/>
                <c:pt idx="0">
                  <c:v>8490.860541861397</c:v>
                </c:pt>
                <c:pt idx="1">
                  <c:v>3944.2171456473216</c:v>
                </c:pt>
                <c:pt idx="2">
                  <c:v>757.67347935267946</c:v>
                </c:pt>
                <c:pt idx="3">
                  <c:v>6153.7508095877547</c:v>
                </c:pt>
                <c:pt idx="4">
                  <c:v>11039.129134695862</c:v>
                </c:pt>
              </c:numCache>
            </c:numRef>
          </c:val>
        </c:ser>
        <c:ser>
          <c:idx val="1"/>
          <c:order val="1"/>
          <c:tx>
            <c:strRef>
              <c:f>'WSCH by College and Year'!$A$21</c:f>
              <c:strCache>
                <c:ptCount val="1"/>
                <c:pt idx="0">
                  <c:v>Fall </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'WSCH by College and Year'!$B$19:$F$19</c:f>
              <c:strCache>
                <c:ptCount val="5"/>
                <c:pt idx="0">
                  <c:v>2010-11</c:v>
                </c:pt>
                <c:pt idx="1">
                  <c:v>2011-12</c:v>
                </c:pt>
                <c:pt idx="2">
                  <c:v>2012-13</c:v>
                </c:pt>
                <c:pt idx="3">
                  <c:v>2013-14</c:v>
                </c:pt>
                <c:pt idx="4">
                  <c:v>2014-15</c:v>
                </c:pt>
              </c:strCache>
            </c:strRef>
          </c:cat>
          <c:val>
            <c:numRef>
              <c:f>'WSCH by College and Year'!$B$21:$F$21</c:f>
              <c:numCache>
                <c:formatCode>#,##0</c:formatCode>
                <c:ptCount val="5"/>
                <c:pt idx="0">
                  <c:v>69276.304848371234</c:v>
                </c:pt>
                <c:pt idx="1">
                  <c:v>62099.429378182547</c:v>
                </c:pt>
                <c:pt idx="2">
                  <c:v>59944.944017900743</c:v>
                </c:pt>
                <c:pt idx="3">
                  <c:v>63262.598502240893</c:v>
                </c:pt>
                <c:pt idx="4">
                  <c:v>67751.108073861265</c:v>
                </c:pt>
              </c:numCache>
            </c:numRef>
          </c:val>
        </c:ser>
        <c:ser>
          <c:idx val="2"/>
          <c:order val="2"/>
          <c:tx>
            <c:strRef>
              <c:f>'WSCH by College and Year'!$A$22</c:f>
              <c:strCache>
                <c:ptCount val="1"/>
                <c:pt idx="0">
                  <c:v>Spring</c:v>
                </c:pt>
              </c:strCache>
            </c:strRef>
          </c:tx>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'WSCH by College and Year'!$B$19:$F$19</c:f>
              <c:strCache>
                <c:ptCount val="5"/>
                <c:pt idx="0">
                  <c:v>2010-11</c:v>
                </c:pt>
                <c:pt idx="1">
                  <c:v>2011-12</c:v>
                </c:pt>
                <c:pt idx="2">
                  <c:v>2012-13</c:v>
                </c:pt>
                <c:pt idx="3">
                  <c:v>2013-14</c:v>
                </c:pt>
                <c:pt idx="4">
                  <c:v>2014-15</c:v>
                </c:pt>
              </c:strCache>
            </c:strRef>
          </c:cat>
          <c:val>
            <c:numRef>
              <c:f>'WSCH by College and Year'!$B$22:$F$22</c:f>
              <c:numCache>
                <c:formatCode>#,##0</c:formatCode>
                <c:ptCount val="5"/>
                <c:pt idx="0">
                  <c:v>66942.119468579986</c:v>
                </c:pt>
                <c:pt idx="1">
                  <c:v>60794.600764247334</c:v>
                </c:pt>
                <c:pt idx="2">
                  <c:v>58305.780426570316</c:v>
                </c:pt>
                <c:pt idx="3">
                  <c:v>61312.664670126782</c:v>
                </c:pt>
                <c:pt idx="4">
                  <c:v>62891.681752341137</c:v>
                </c:pt>
              </c:numCache>
            </c:numRef>
          </c:val>
        </c:ser>
        <c:dLbls>
          <c:showLegendKey val="0"/>
          <c:showVal val="1"/>
          <c:showCatName val="0"/>
          <c:showSerName val="0"/>
          <c:showPercent val="0"/>
          <c:showBubbleSize val="0"/>
        </c:dLbls>
        <c:gapWidth val="150"/>
        <c:overlap val="100"/>
        <c:axId val="151449088"/>
        <c:axId val="151361152"/>
      </c:barChart>
      <c:catAx>
        <c:axId val="151449088"/>
        <c:scaling>
          <c:orientation val="minMax"/>
        </c:scaling>
        <c:delete val="0"/>
        <c:axPos val="b"/>
        <c:majorGridlines/>
        <c:numFmt formatCode="General" sourceLinked="0"/>
        <c:majorTickMark val="out"/>
        <c:minorTickMark val="none"/>
        <c:tickLblPos val="nextTo"/>
        <c:crossAx val="151361152"/>
        <c:crosses val="autoZero"/>
        <c:auto val="1"/>
        <c:lblAlgn val="ctr"/>
        <c:lblOffset val="100"/>
        <c:noMultiLvlLbl val="0"/>
      </c:catAx>
      <c:valAx>
        <c:axId val="151361152"/>
        <c:scaling>
          <c:orientation val="minMax"/>
        </c:scaling>
        <c:delete val="0"/>
        <c:axPos val="l"/>
        <c:title>
          <c:tx>
            <c:rich>
              <a:bodyPr rot="-5400000" vert="horz"/>
              <a:lstStyle/>
              <a:p>
                <a:pPr>
                  <a:defRPr/>
                </a:pPr>
                <a:r>
                  <a:rPr lang="en-US"/>
                  <a:t>WSCH</a:t>
                </a:r>
              </a:p>
            </c:rich>
          </c:tx>
          <c:layout/>
          <c:overlay val="0"/>
        </c:title>
        <c:numFmt formatCode="#,##0" sourceLinked="1"/>
        <c:majorTickMark val="out"/>
        <c:minorTickMark val="none"/>
        <c:tickLblPos val="nextTo"/>
        <c:crossAx val="151449088"/>
        <c:crosses val="autoZero"/>
        <c:crossBetween val="between"/>
      </c:valAx>
    </c:plotArea>
    <c:legend>
      <c:legendPos val="t"/>
      <c:layout>
        <c:manualLayout>
          <c:xMode val="edge"/>
          <c:yMode val="edge"/>
          <c:x val="0.37730116837888383"/>
          <c:y val="0"/>
          <c:w val="0.24170407369438934"/>
          <c:h val="7.9836262189080728E-2"/>
        </c:manualLayout>
      </c:layout>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2397224720169036E-2"/>
          <c:y val="9.168665744738895E-2"/>
          <c:w val="0.90760277527983102"/>
          <c:h val="0.80292909622856368"/>
        </c:manualLayout>
      </c:layout>
      <c:lineChart>
        <c:grouping val="standard"/>
        <c:varyColors val="0"/>
        <c:ser>
          <c:idx val="0"/>
          <c:order val="0"/>
          <c:tx>
            <c:strRef>
              <c:f>'Crafton Sections by Course'!$B$713</c:f>
              <c:strCache>
                <c:ptCount val="1"/>
                <c:pt idx="0">
                  <c:v>Section Offerings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Sections by Course'!$C$712:$G$712</c:f>
              <c:strCache>
                <c:ptCount val="5"/>
                <c:pt idx="0">
                  <c:v>2010-11</c:v>
                </c:pt>
                <c:pt idx="1">
                  <c:v>2011-12</c:v>
                </c:pt>
                <c:pt idx="2">
                  <c:v>2012-13</c:v>
                </c:pt>
                <c:pt idx="3">
                  <c:v>2013-14</c:v>
                </c:pt>
                <c:pt idx="4">
                  <c:v>2014-15</c:v>
                </c:pt>
              </c:strCache>
            </c:strRef>
          </c:cat>
          <c:val>
            <c:numRef>
              <c:f>'Crafton Sections by Course'!$C$713:$G$713</c:f>
              <c:numCache>
                <c:formatCode>#,##0</c:formatCode>
                <c:ptCount val="5"/>
                <c:pt idx="0">
                  <c:v>1251</c:v>
                </c:pt>
                <c:pt idx="1">
                  <c:v>1133</c:v>
                </c:pt>
                <c:pt idx="2">
                  <c:v>1143</c:v>
                </c:pt>
                <c:pt idx="3">
                  <c:v>1319</c:v>
                </c:pt>
                <c:pt idx="4">
                  <c:v>1647</c:v>
                </c:pt>
              </c:numCache>
            </c:numRef>
          </c:val>
          <c:smooth val="0"/>
        </c:ser>
        <c:dLbls>
          <c:showLegendKey val="0"/>
          <c:showVal val="1"/>
          <c:showCatName val="0"/>
          <c:showSerName val="0"/>
          <c:showPercent val="0"/>
          <c:showBubbleSize val="0"/>
        </c:dLbls>
        <c:marker val="1"/>
        <c:smooth val="0"/>
        <c:axId val="188231168"/>
        <c:axId val="151362880"/>
      </c:lineChart>
      <c:catAx>
        <c:axId val="188231168"/>
        <c:scaling>
          <c:orientation val="minMax"/>
        </c:scaling>
        <c:delete val="0"/>
        <c:axPos val="b"/>
        <c:majorGridlines/>
        <c:numFmt formatCode="General" sourceLinked="0"/>
        <c:majorTickMark val="out"/>
        <c:minorTickMark val="none"/>
        <c:tickLblPos val="nextTo"/>
        <c:crossAx val="151362880"/>
        <c:crosses val="autoZero"/>
        <c:auto val="1"/>
        <c:lblAlgn val="ctr"/>
        <c:lblOffset val="100"/>
        <c:noMultiLvlLbl val="0"/>
      </c:catAx>
      <c:valAx>
        <c:axId val="151362880"/>
        <c:scaling>
          <c:orientation val="minMax"/>
        </c:scaling>
        <c:delete val="0"/>
        <c:axPos val="l"/>
        <c:title>
          <c:tx>
            <c:rich>
              <a:bodyPr rot="-5400000" vert="horz"/>
              <a:lstStyle/>
              <a:p>
                <a:pPr>
                  <a:defRPr/>
                </a:pPr>
                <a:r>
                  <a:rPr lang="en-US"/>
                  <a:t>Section Offerings</a:t>
                </a:r>
              </a:p>
            </c:rich>
          </c:tx>
          <c:layout/>
          <c:overlay val="0"/>
        </c:title>
        <c:numFmt formatCode="#,##0" sourceLinked="1"/>
        <c:majorTickMark val="out"/>
        <c:minorTickMark val="none"/>
        <c:tickLblPos val="nextTo"/>
        <c:crossAx val="188231168"/>
        <c:crosses val="autoZero"/>
        <c:crossBetween val="between"/>
      </c:valAx>
    </c:plotArea>
    <c:legend>
      <c:legendPos val="t"/>
      <c:layout>
        <c:manualLayout>
          <c:xMode val="edge"/>
          <c:yMode val="edge"/>
          <c:x val="0.39573209337690757"/>
          <c:y val="0"/>
          <c:w val="0.20853566702490881"/>
          <c:h val="8.6417746168825652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43195021970569E-2"/>
          <c:y val="0.10489566463766499"/>
          <c:w val="0.91825680497802942"/>
          <c:h val="0.78138493326632052"/>
        </c:manualLayout>
      </c:layout>
      <c:lineChart>
        <c:grouping val="standard"/>
        <c:varyColors val="0"/>
        <c:ser>
          <c:idx val="0"/>
          <c:order val="0"/>
          <c:tx>
            <c:strRef>
              <c:f>'Crafton WSHC and FTEF'!$A$30</c:f>
              <c:strCache>
                <c:ptCount val="1"/>
                <c:pt idx="0">
                  <c:v>FTEF</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WSHC and FTEF'!$B$28:$F$28</c:f>
              <c:strCache>
                <c:ptCount val="5"/>
                <c:pt idx="0">
                  <c:v>2010-11</c:v>
                </c:pt>
                <c:pt idx="1">
                  <c:v>2011-12</c:v>
                </c:pt>
                <c:pt idx="2">
                  <c:v>2012-13</c:v>
                </c:pt>
                <c:pt idx="3">
                  <c:v>2013-14</c:v>
                </c:pt>
                <c:pt idx="4">
                  <c:v>2014-15</c:v>
                </c:pt>
              </c:strCache>
            </c:strRef>
          </c:cat>
          <c:val>
            <c:numRef>
              <c:f>'Crafton WSHC and FTEF'!$B$30:$F$30</c:f>
              <c:numCache>
                <c:formatCode>#,##0.00</c:formatCode>
                <c:ptCount val="5"/>
                <c:pt idx="0">
                  <c:v>261.34000415354978</c:v>
                </c:pt>
                <c:pt idx="1">
                  <c:v>233.01000364497293</c:v>
                </c:pt>
                <c:pt idx="2">
                  <c:v>225.98700361326348</c:v>
                </c:pt>
                <c:pt idx="3">
                  <c:v>275.02099827676994</c:v>
                </c:pt>
                <c:pt idx="4">
                  <c:v>310.04599798098195</c:v>
                </c:pt>
              </c:numCache>
            </c:numRef>
          </c:val>
          <c:smooth val="0"/>
        </c:ser>
        <c:ser>
          <c:idx val="1"/>
          <c:order val="1"/>
          <c:tx>
            <c:strRef>
              <c:f>'Crafton WSHC and FTEF'!$A$31</c:f>
              <c:strCache>
                <c:ptCount val="1"/>
                <c:pt idx="0">
                  <c:v>WSCH/FTEF</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'Crafton WSHC and FTEF'!$B$28:$F$28</c:f>
              <c:strCache>
                <c:ptCount val="5"/>
                <c:pt idx="0">
                  <c:v>2010-11</c:v>
                </c:pt>
                <c:pt idx="1">
                  <c:v>2011-12</c:v>
                </c:pt>
                <c:pt idx="2">
                  <c:v>2012-13</c:v>
                </c:pt>
                <c:pt idx="3">
                  <c:v>2013-14</c:v>
                </c:pt>
                <c:pt idx="4">
                  <c:v>2014-15</c:v>
                </c:pt>
              </c:strCache>
            </c:strRef>
          </c:cat>
          <c:val>
            <c:numRef>
              <c:f>'Crafton WSHC and FTEF'!$B$31:$F$31</c:f>
              <c:numCache>
                <c:formatCode>0.00</c:formatCode>
                <c:ptCount val="5"/>
                <c:pt idx="0">
                  <c:v>553.72037406791014</c:v>
                </c:pt>
                <c:pt idx="1">
                  <c:v>544.34678899595622</c:v>
                </c:pt>
                <c:pt idx="2">
                  <c:v>526.61611517928486</c:v>
                </c:pt>
                <c:pt idx="3">
                  <c:v>475.34193680147627</c:v>
                </c:pt>
                <c:pt idx="4">
                  <c:v>456.97064269021433</c:v>
                </c:pt>
              </c:numCache>
            </c:numRef>
          </c:val>
          <c:smooth val="0"/>
        </c:ser>
        <c:dLbls>
          <c:showLegendKey val="0"/>
          <c:showVal val="0"/>
          <c:showCatName val="0"/>
          <c:showSerName val="0"/>
          <c:showPercent val="0"/>
          <c:showBubbleSize val="0"/>
        </c:dLbls>
        <c:marker val="1"/>
        <c:smooth val="0"/>
        <c:axId val="266715136"/>
        <c:axId val="94577792"/>
      </c:lineChart>
      <c:catAx>
        <c:axId val="266715136"/>
        <c:scaling>
          <c:orientation val="minMax"/>
        </c:scaling>
        <c:delete val="0"/>
        <c:axPos val="b"/>
        <c:majorGridlines/>
        <c:numFmt formatCode="General" sourceLinked="0"/>
        <c:majorTickMark val="out"/>
        <c:minorTickMark val="none"/>
        <c:tickLblPos val="nextTo"/>
        <c:crossAx val="94577792"/>
        <c:crosses val="autoZero"/>
        <c:auto val="1"/>
        <c:lblAlgn val="ctr"/>
        <c:lblOffset val="100"/>
        <c:noMultiLvlLbl val="0"/>
      </c:catAx>
      <c:valAx>
        <c:axId val="94577792"/>
        <c:scaling>
          <c:orientation val="minMax"/>
        </c:scaling>
        <c:delete val="0"/>
        <c:axPos val="l"/>
        <c:numFmt formatCode="#,##0.00" sourceLinked="1"/>
        <c:majorTickMark val="out"/>
        <c:minorTickMark val="none"/>
        <c:tickLblPos val="nextTo"/>
        <c:crossAx val="266715136"/>
        <c:crosses val="autoZero"/>
        <c:crossBetween val="between"/>
      </c:valAx>
    </c:plotArea>
    <c:legend>
      <c:legendPos val="t"/>
      <c:layout>
        <c:manualLayout>
          <c:xMode val="edge"/>
          <c:yMode val="edge"/>
          <c:x val="0.37099958713026066"/>
          <c:y val="0"/>
          <c:w val="0.25800082573947947"/>
          <c:h val="8.5498408443625398E-2"/>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0.14975</cdr:x>
      <cdr:y>0.10522</cdr:y>
    </cdr:from>
    <cdr:to>
      <cdr:x>0.24434</cdr:x>
      <cdr:y>0.20195</cdr:y>
    </cdr:to>
    <cdr:sp macro="" textlink="">
      <cdr:nvSpPr>
        <cdr:cNvPr id="2" name="TextBox 1"/>
        <cdr:cNvSpPr txBox="1"/>
      </cdr:nvSpPr>
      <cdr:spPr>
        <a:xfrm xmlns:a="http://schemas.openxmlformats.org/drawingml/2006/main">
          <a:off x="1447801" y="331546"/>
          <a:ext cx="9144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0.15114</cdr:x>
      <cdr:y>0.10622</cdr:y>
    </cdr:from>
    <cdr:to>
      <cdr:x>0.25069</cdr:x>
      <cdr:y>0.20296</cdr:y>
    </cdr:to>
    <cdr:sp macro="" textlink="">
      <cdr:nvSpPr>
        <cdr:cNvPr id="3" name="TextBox 2"/>
        <cdr:cNvSpPr txBox="1"/>
      </cdr:nvSpPr>
      <cdr:spPr>
        <a:xfrm xmlns:a="http://schemas.openxmlformats.org/drawingml/2006/main">
          <a:off x="1039363" y="305551"/>
          <a:ext cx="684662" cy="278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b="1" i="1" dirty="0" smtClean="0"/>
            <a:t>144,709</a:t>
          </a:r>
          <a:endParaRPr lang="en-US" sz="1100" b="1" i="1" dirty="0"/>
        </a:p>
      </cdr:txBody>
    </cdr:sp>
  </cdr:relSizeAnchor>
  <cdr:relSizeAnchor xmlns:cdr="http://schemas.openxmlformats.org/drawingml/2006/chartDrawing">
    <cdr:from>
      <cdr:x>0.32964</cdr:x>
      <cdr:y>0.1887</cdr:y>
    </cdr:from>
    <cdr:to>
      <cdr:x>0.43075</cdr:x>
      <cdr:y>0.28545</cdr:y>
    </cdr:to>
    <cdr:sp macro="" textlink="">
      <cdr:nvSpPr>
        <cdr:cNvPr id="4" name="TextBox 1"/>
        <cdr:cNvSpPr txBox="1"/>
      </cdr:nvSpPr>
      <cdr:spPr>
        <a:xfrm xmlns:a="http://schemas.openxmlformats.org/drawingml/2006/main">
          <a:off x="2266985" y="542819"/>
          <a:ext cx="695290" cy="278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i="1" dirty="0" smtClean="0"/>
            <a:t>126,838</a:t>
          </a:r>
          <a:endParaRPr lang="en-US" sz="1100" b="1" i="1" dirty="0"/>
        </a:p>
      </cdr:txBody>
    </cdr:sp>
  </cdr:relSizeAnchor>
  <cdr:relSizeAnchor xmlns:cdr="http://schemas.openxmlformats.org/drawingml/2006/chartDrawing">
    <cdr:from>
      <cdr:x>0.50631</cdr:x>
      <cdr:y>0.22714</cdr:y>
    </cdr:from>
    <cdr:to>
      <cdr:x>0.60803</cdr:x>
      <cdr:y>0.32387</cdr:y>
    </cdr:to>
    <cdr:sp macro="" textlink="">
      <cdr:nvSpPr>
        <cdr:cNvPr id="5" name="TextBox 1"/>
        <cdr:cNvSpPr txBox="1"/>
      </cdr:nvSpPr>
      <cdr:spPr>
        <a:xfrm xmlns:a="http://schemas.openxmlformats.org/drawingml/2006/main">
          <a:off x="3481953" y="653383"/>
          <a:ext cx="699522" cy="2782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i="1" dirty="0" smtClean="0"/>
            <a:t>119,008</a:t>
          </a:r>
          <a:endParaRPr lang="en-US" sz="1100" b="1" i="1" dirty="0"/>
        </a:p>
      </cdr:txBody>
    </cdr:sp>
  </cdr:relSizeAnchor>
  <cdr:relSizeAnchor xmlns:cdr="http://schemas.openxmlformats.org/drawingml/2006/chartDrawing">
    <cdr:from>
      <cdr:x>0.6871</cdr:x>
      <cdr:y>0.17215</cdr:y>
    </cdr:from>
    <cdr:to>
      <cdr:x>0.78947</cdr:x>
      <cdr:y>0.26889</cdr:y>
    </cdr:to>
    <cdr:sp macro="" textlink="">
      <cdr:nvSpPr>
        <cdr:cNvPr id="6" name="TextBox 1"/>
        <cdr:cNvSpPr txBox="1"/>
      </cdr:nvSpPr>
      <cdr:spPr>
        <a:xfrm xmlns:a="http://schemas.openxmlformats.org/drawingml/2006/main">
          <a:off x="4725187" y="495194"/>
          <a:ext cx="704063" cy="278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i="1" dirty="0" smtClean="0"/>
            <a:t>130,729</a:t>
          </a:r>
          <a:endParaRPr lang="en-US" sz="1100" b="1" i="1" dirty="0"/>
        </a:p>
      </cdr:txBody>
    </cdr:sp>
  </cdr:relSizeAnchor>
  <cdr:relSizeAnchor xmlns:cdr="http://schemas.openxmlformats.org/drawingml/2006/chartDrawing">
    <cdr:from>
      <cdr:x>0.86423</cdr:x>
      <cdr:y>0.11616</cdr:y>
    </cdr:from>
    <cdr:to>
      <cdr:x>0.9626</cdr:x>
      <cdr:y>0.21289</cdr:y>
    </cdr:to>
    <cdr:sp macro="" textlink="">
      <cdr:nvSpPr>
        <cdr:cNvPr id="7" name="TextBox 1"/>
        <cdr:cNvSpPr txBox="1"/>
      </cdr:nvSpPr>
      <cdr:spPr>
        <a:xfrm xmlns:a="http://schemas.openxmlformats.org/drawingml/2006/main">
          <a:off x="5943352" y="334126"/>
          <a:ext cx="676523" cy="2782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i="1" dirty="0" smtClean="0"/>
            <a:t>141,682</a:t>
          </a:r>
          <a:endParaRPr lang="en-US" sz="1100" b="1" i="1" dirty="0"/>
        </a:p>
      </cdr:txBody>
    </cdr:sp>
  </cdr:relSizeAnchor>
</c:userShapes>
</file>

<file path=word/drawings/drawing2.xml><?xml version="1.0" encoding="utf-8"?>
<c:userShapes xmlns:c="http://schemas.openxmlformats.org/drawingml/2006/chart">
  <cdr:relSizeAnchor xmlns:cdr="http://schemas.openxmlformats.org/drawingml/2006/chartDrawing">
    <cdr:from>
      <cdr:x>0.9415</cdr:x>
      <cdr:y>0.75676</cdr:y>
    </cdr:from>
    <cdr:to>
      <cdr:x>1</cdr:x>
      <cdr:y>0.82095</cdr:y>
    </cdr:to>
    <cdr:sp macro="" textlink="">
      <cdr:nvSpPr>
        <cdr:cNvPr id="2" name="Text Box 1"/>
        <cdr:cNvSpPr txBox="1"/>
      </cdr:nvSpPr>
      <cdr:spPr>
        <a:xfrm xmlns:a="http://schemas.openxmlformats.org/drawingml/2006/main">
          <a:off x="6438900" y="2133600"/>
          <a:ext cx="4000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417</a:t>
          </a:r>
        </a:p>
      </cdr:txBody>
    </cdr:sp>
  </cdr:relSizeAnchor>
  <cdr:relSizeAnchor xmlns:cdr="http://schemas.openxmlformats.org/drawingml/2006/chartDrawing">
    <cdr:from>
      <cdr:x>0.94011</cdr:x>
      <cdr:y>0.60135</cdr:y>
    </cdr:from>
    <cdr:to>
      <cdr:x>1</cdr:x>
      <cdr:y>0.67568</cdr:y>
    </cdr:to>
    <cdr:sp macro="" textlink="">
      <cdr:nvSpPr>
        <cdr:cNvPr id="3" name="Text Box 2"/>
        <cdr:cNvSpPr txBox="1"/>
      </cdr:nvSpPr>
      <cdr:spPr>
        <a:xfrm xmlns:a="http://schemas.openxmlformats.org/drawingml/2006/main">
          <a:off x="6429375" y="1695450"/>
          <a:ext cx="4095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481</a:t>
          </a:r>
        </a:p>
      </cdr:txBody>
    </cdr:sp>
  </cdr:relSizeAnchor>
  <cdr:relSizeAnchor xmlns:cdr="http://schemas.openxmlformats.org/drawingml/2006/chartDrawing">
    <cdr:from>
      <cdr:x>0.94011</cdr:x>
      <cdr:y>0.44595</cdr:y>
    </cdr:from>
    <cdr:to>
      <cdr:x>1</cdr:x>
      <cdr:y>0.53378</cdr:y>
    </cdr:to>
    <cdr:sp macro="" textlink="">
      <cdr:nvSpPr>
        <cdr:cNvPr id="4" name="Text Box 3"/>
        <cdr:cNvSpPr txBox="1"/>
      </cdr:nvSpPr>
      <cdr:spPr>
        <a:xfrm xmlns:a="http://schemas.openxmlformats.org/drawingml/2006/main">
          <a:off x="6429375" y="1257300"/>
          <a:ext cx="4095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512</a:t>
          </a:r>
        </a:p>
      </cdr:txBody>
    </cdr:sp>
  </cdr:relSizeAnchor>
  <cdr:relSizeAnchor xmlns:cdr="http://schemas.openxmlformats.org/drawingml/2006/chartDrawing">
    <cdr:from>
      <cdr:x>0.93872</cdr:x>
      <cdr:y>0.28716</cdr:y>
    </cdr:from>
    <cdr:to>
      <cdr:x>1</cdr:x>
      <cdr:y>0.36149</cdr:y>
    </cdr:to>
    <cdr:sp macro="" textlink="">
      <cdr:nvSpPr>
        <cdr:cNvPr id="5" name="Text Box 4"/>
        <cdr:cNvSpPr txBox="1"/>
      </cdr:nvSpPr>
      <cdr:spPr>
        <a:xfrm xmlns:a="http://schemas.openxmlformats.org/drawingml/2006/main">
          <a:off x="6419850" y="809625"/>
          <a:ext cx="4191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400</a:t>
          </a:r>
        </a:p>
      </cdr:txBody>
    </cdr:sp>
  </cdr:relSizeAnchor>
  <cdr:relSizeAnchor xmlns:cdr="http://schemas.openxmlformats.org/drawingml/2006/chartDrawing">
    <cdr:from>
      <cdr:x>0.93593</cdr:x>
      <cdr:y>0.12838</cdr:y>
    </cdr:from>
    <cdr:to>
      <cdr:x>1</cdr:x>
      <cdr:y>0.21739</cdr:y>
    </cdr:to>
    <cdr:sp macro="" textlink="">
      <cdr:nvSpPr>
        <cdr:cNvPr id="6" name="Text Box 5"/>
        <cdr:cNvSpPr txBox="1"/>
      </cdr:nvSpPr>
      <cdr:spPr>
        <a:xfrm xmlns:a="http://schemas.openxmlformats.org/drawingml/2006/main">
          <a:off x="6400778" y="337498"/>
          <a:ext cx="438172" cy="234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477</a:t>
          </a:r>
        </a:p>
      </cdr:txBody>
    </cdr:sp>
  </cdr:relSizeAnchor>
</c:userShapes>
</file>

<file path=word/drawings/drawing3.xml><?xml version="1.0" encoding="utf-8"?>
<c:userShapes xmlns:c="http://schemas.openxmlformats.org/drawingml/2006/chart">
  <cdr:relSizeAnchor xmlns:cdr="http://schemas.openxmlformats.org/drawingml/2006/chartDrawing">
    <cdr:from>
      <cdr:x>0.1372</cdr:x>
      <cdr:y>0.22545</cdr:y>
    </cdr:from>
    <cdr:to>
      <cdr:x>0.21075</cdr:x>
      <cdr:y>0.31273</cdr:y>
    </cdr:to>
    <cdr:sp macro="" textlink="">
      <cdr:nvSpPr>
        <cdr:cNvPr id="2" name="Text Box 1"/>
        <cdr:cNvSpPr txBox="1"/>
      </cdr:nvSpPr>
      <cdr:spPr>
        <a:xfrm xmlns:a="http://schemas.openxmlformats.org/drawingml/2006/main">
          <a:off x="923925" y="590550"/>
          <a:ext cx="495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323</a:t>
          </a:r>
        </a:p>
      </cdr:txBody>
    </cdr:sp>
  </cdr:relSizeAnchor>
  <cdr:relSizeAnchor xmlns:cdr="http://schemas.openxmlformats.org/drawingml/2006/chartDrawing">
    <cdr:from>
      <cdr:x>0.32249</cdr:x>
      <cdr:y>0.19273</cdr:y>
    </cdr:from>
    <cdr:to>
      <cdr:x>0.40028</cdr:x>
      <cdr:y>0.30182</cdr:y>
    </cdr:to>
    <cdr:sp macro="" textlink="">
      <cdr:nvSpPr>
        <cdr:cNvPr id="3" name="Text Box 2"/>
        <cdr:cNvSpPr txBox="1"/>
      </cdr:nvSpPr>
      <cdr:spPr>
        <a:xfrm xmlns:a="http://schemas.openxmlformats.org/drawingml/2006/main">
          <a:off x="2171700" y="504825"/>
          <a:ext cx="52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332</a:t>
          </a:r>
        </a:p>
      </cdr:txBody>
    </cdr:sp>
  </cdr:relSizeAnchor>
  <cdr:relSizeAnchor xmlns:cdr="http://schemas.openxmlformats.org/drawingml/2006/chartDrawing">
    <cdr:from>
      <cdr:x>0.50778</cdr:x>
      <cdr:y>0.22545</cdr:y>
    </cdr:from>
    <cdr:to>
      <cdr:x>0.58133</cdr:x>
      <cdr:y>0.31273</cdr:y>
    </cdr:to>
    <cdr:sp macro="" textlink="">
      <cdr:nvSpPr>
        <cdr:cNvPr id="4" name="Text Box 3"/>
        <cdr:cNvSpPr txBox="1"/>
      </cdr:nvSpPr>
      <cdr:spPr>
        <a:xfrm xmlns:a="http://schemas.openxmlformats.org/drawingml/2006/main">
          <a:off x="3419475" y="590550"/>
          <a:ext cx="495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320</a:t>
          </a:r>
        </a:p>
      </cdr:txBody>
    </cdr:sp>
  </cdr:relSizeAnchor>
  <cdr:relSizeAnchor xmlns:cdr="http://schemas.openxmlformats.org/drawingml/2006/chartDrawing">
    <cdr:from>
      <cdr:x>0.69307</cdr:x>
      <cdr:y>0.19636</cdr:y>
    </cdr:from>
    <cdr:to>
      <cdr:x>0.77369</cdr:x>
      <cdr:y>0.30182</cdr:y>
    </cdr:to>
    <cdr:sp macro="" textlink="">
      <cdr:nvSpPr>
        <cdr:cNvPr id="5" name="Text Box 4"/>
        <cdr:cNvSpPr txBox="1"/>
      </cdr:nvSpPr>
      <cdr:spPr>
        <a:xfrm xmlns:a="http://schemas.openxmlformats.org/drawingml/2006/main">
          <a:off x="4667250" y="514350"/>
          <a:ext cx="5429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332</a:t>
          </a:r>
        </a:p>
      </cdr:txBody>
    </cdr:sp>
  </cdr:relSizeAnchor>
  <cdr:relSizeAnchor xmlns:cdr="http://schemas.openxmlformats.org/drawingml/2006/chartDrawing">
    <cdr:from>
      <cdr:x>0.87694</cdr:x>
      <cdr:y>0.11273</cdr:y>
    </cdr:from>
    <cdr:to>
      <cdr:x>0.94767</cdr:x>
      <cdr:y>0.20364</cdr:y>
    </cdr:to>
    <cdr:sp macro="" textlink="">
      <cdr:nvSpPr>
        <cdr:cNvPr id="6" name="Text Box 5"/>
        <cdr:cNvSpPr txBox="1"/>
      </cdr:nvSpPr>
      <cdr:spPr>
        <a:xfrm xmlns:a="http://schemas.openxmlformats.org/drawingml/2006/main">
          <a:off x="5905500" y="295275"/>
          <a:ext cx="476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1"/>
            <a:t>381</a:t>
          </a:r>
        </a:p>
      </cdr:txBody>
    </cdr:sp>
  </cdr:relSizeAnchor>
</c:userShapes>
</file>

<file path=word/drawings/drawing4.xml><?xml version="1.0" encoding="utf-8"?>
<c:userShapes xmlns:c="http://schemas.openxmlformats.org/drawingml/2006/chart">
  <cdr:relSizeAnchor xmlns:cdr="http://schemas.openxmlformats.org/drawingml/2006/chartDrawing">
    <cdr:from>
      <cdr:x>1.68248E-7</cdr:x>
      <cdr:y>0.36551</cdr:y>
    </cdr:from>
    <cdr:to>
      <cdr:x>0.04167</cdr:x>
      <cdr:y>0.61022</cdr:y>
    </cdr:to>
    <cdr:sp macro="" textlink="">
      <cdr:nvSpPr>
        <cdr:cNvPr id="3" name="TextBox 2"/>
        <cdr:cNvSpPr txBox="1"/>
      </cdr:nvSpPr>
      <cdr:spPr>
        <a:xfrm xmlns:a="http://schemas.openxmlformats.org/drawingml/2006/main" rot="16200000">
          <a:off x="-284319" y="1503521"/>
          <a:ext cx="816289"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Population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0.38721</cdr:x>
      <cdr:y>0.89223</cdr:y>
    </cdr:from>
    <cdr:to>
      <cdr:x>0.58615</cdr:x>
      <cdr:y>0.97582</cdr:y>
    </cdr:to>
    <cdr:sp macro="" textlink="">
      <cdr:nvSpPr>
        <cdr:cNvPr id="2" name="Text Box 1"/>
        <cdr:cNvSpPr txBox="1"/>
      </cdr:nvSpPr>
      <cdr:spPr>
        <a:xfrm xmlns:a="http://schemas.openxmlformats.org/drawingml/2006/main">
          <a:off x="1991615" y="2473047"/>
          <a:ext cx="1023248" cy="231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Service Area</a:t>
          </a:r>
        </a:p>
      </cdr:txBody>
    </cdr:sp>
  </cdr:relSizeAnchor>
</c:userShapes>
</file>

<file path=word/drawings/drawing6.xml><?xml version="1.0" encoding="utf-8"?>
<c:userShapes xmlns:c="http://schemas.openxmlformats.org/drawingml/2006/chart">
  <cdr:relSizeAnchor xmlns:cdr="http://schemas.openxmlformats.org/drawingml/2006/chartDrawing">
    <cdr:from>
      <cdr:x>0.43775</cdr:x>
      <cdr:y>0.90265</cdr:y>
    </cdr:from>
    <cdr:to>
      <cdr:x>0.62895</cdr:x>
      <cdr:y>1</cdr:y>
    </cdr:to>
    <cdr:sp macro="" textlink="">
      <cdr:nvSpPr>
        <cdr:cNvPr id="2" name="Text Box 1"/>
        <cdr:cNvSpPr txBox="1"/>
      </cdr:nvSpPr>
      <cdr:spPr>
        <a:xfrm xmlns:a="http://schemas.openxmlformats.org/drawingml/2006/main">
          <a:off x="1834894" y="2497620"/>
          <a:ext cx="801428" cy="2693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Region</a:t>
          </a:r>
        </a:p>
      </cdr:txBody>
    </cdr:sp>
  </cdr:relSizeAnchor>
</c:userShapes>
</file>

<file path=word/drawings/drawing7.xml><?xml version="1.0" encoding="utf-8"?>
<c:userShapes xmlns:c="http://schemas.openxmlformats.org/drawingml/2006/chart">
  <cdr:relSizeAnchor xmlns:cdr="http://schemas.openxmlformats.org/drawingml/2006/chartDrawing">
    <cdr:from>
      <cdr:x>0.41758</cdr:x>
      <cdr:y>0.87805</cdr:y>
    </cdr:from>
    <cdr:to>
      <cdr:x>0.57343</cdr:x>
      <cdr:y>0.95787</cdr:y>
    </cdr:to>
    <cdr:sp macro="" textlink="">
      <cdr:nvSpPr>
        <cdr:cNvPr id="2" name="Text Box 1"/>
        <cdr:cNvSpPr txBox="1"/>
      </cdr:nvSpPr>
      <cdr:spPr>
        <a:xfrm xmlns:a="http://schemas.openxmlformats.org/drawingml/2006/main">
          <a:off x="2481942" y="2743201"/>
          <a:ext cx="926275"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California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rafton Hills College">
    <a:dk1>
      <a:sysClr val="windowText" lastClr="000000"/>
    </a:dk1>
    <a:lt1>
      <a:sysClr val="window" lastClr="FFFFFF"/>
    </a:lt1>
    <a:dk2>
      <a:srgbClr val="44546A"/>
    </a:dk2>
    <a:lt2>
      <a:srgbClr val="E7E6E6"/>
    </a:lt2>
    <a:accent1>
      <a:srgbClr val="008751"/>
    </a:accent1>
    <a:accent2>
      <a:srgbClr val="FFC61E"/>
    </a:accent2>
    <a:accent3>
      <a:srgbClr val="00A0C4"/>
    </a:accent3>
    <a:accent4>
      <a:srgbClr val="653279"/>
    </a:accent4>
    <a:accent5>
      <a:srgbClr val="96938E"/>
    </a:accent5>
    <a:accent6>
      <a:srgbClr val="BC4F07"/>
    </a:accent6>
    <a:hlink>
      <a:srgbClr val="0563C1"/>
    </a:hlink>
    <a:folHlink>
      <a:srgbClr val="954F72"/>
    </a:folHlink>
  </a:clrScheme>
  <a:fontScheme name="Crafton Hills College">
    <a:majorFont>
      <a:latin typeface="Jaeger Daily News"/>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8A97B-073D-4C75-B198-63A70841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165</Pages>
  <Words>41158</Words>
  <Characters>234603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Strong</dc:creator>
  <cp:lastModifiedBy>Bobby Khushal</cp:lastModifiedBy>
  <cp:revision>74</cp:revision>
  <cp:lastPrinted>2016-03-25T00:37:00Z</cp:lastPrinted>
  <dcterms:created xsi:type="dcterms:W3CDTF">2016-05-04T21:24:00Z</dcterms:created>
  <dcterms:modified xsi:type="dcterms:W3CDTF">2016-05-17T18:48:00Z</dcterms:modified>
</cp:coreProperties>
</file>