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AC5" w:rsidRDefault="008D49FC" w:rsidP="00FF1651">
      <w:bookmarkStart w:id="0" w:name="_GoBack"/>
      <w:bookmarkEnd w:id="0"/>
    </w:p>
    <w:p w:rsidR="0069698C" w:rsidRPr="00FE334B" w:rsidRDefault="0069698C" w:rsidP="00FF1651">
      <w:pPr>
        <w:rPr>
          <w:rFonts w:ascii="Arial" w:hAnsi="Arial" w:cs="Arial"/>
          <w:color w:val="303030"/>
          <w:sz w:val="20"/>
          <w:szCs w:val="20"/>
        </w:rPr>
      </w:pPr>
      <w:r w:rsidRPr="00FE334B">
        <w:rPr>
          <w:rFonts w:ascii="Arial" w:hAnsi="Arial" w:cs="Arial"/>
          <w:color w:val="303030"/>
          <w:sz w:val="20"/>
          <w:szCs w:val="20"/>
        </w:rPr>
        <w:t>Chancellor's Office approval is required for all noncredit courses that receive state apportionmen</w:t>
      </w:r>
      <w:r w:rsidR="00F33B3D">
        <w:rPr>
          <w:rFonts w:ascii="Arial" w:hAnsi="Arial" w:cs="Arial"/>
          <w:color w:val="303030"/>
          <w:sz w:val="20"/>
          <w:szCs w:val="20"/>
        </w:rPr>
        <w:t xml:space="preserve">t. Ten noncredit categories have been </w:t>
      </w:r>
      <w:r w:rsidRPr="00FE334B">
        <w:rPr>
          <w:rFonts w:ascii="Arial" w:hAnsi="Arial" w:cs="Arial"/>
          <w:color w:val="303030"/>
          <w:sz w:val="20"/>
          <w:szCs w:val="20"/>
        </w:rPr>
        <w:t xml:space="preserve">established to classify </w:t>
      </w:r>
      <w:r w:rsidR="008039AA" w:rsidRPr="00FE334B">
        <w:rPr>
          <w:rFonts w:ascii="Arial" w:hAnsi="Arial" w:cs="Arial"/>
          <w:color w:val="303030"/>
          <w:sz w:val="20"/>
          <w:szCs w:val="20"/>
        </w:rPr>
        <w:t>a noncredit category</w:t>
      </w:r>
      <w:r w:rsidRPr="00FE334B">
        <w:rPr>
          <w:rFonts w:ascii="Arial" w:hAnsi="Arial" w:cs="Arial"/>
          <w:color w:val="303030"/>
          <w:sz w:val="20"/>
          <w:szCs w:val="20"/>
        </w:rPr>
        <w:t xml:space="preserve"> in accordance with its primary objective. These categories of noncredit courses are eligible for state apportionment in accordance with California education Code sections 84757(a) and 84760.5 and California Code Regulations title 5, section 58160.</w:t>
      </w:r>
    </w:p>
    <w:p w:rsidR="0069698C" w:rsidRPr="00174E88" w:rsidRDefault="0069698C" w:rsidP="00FF1651">
      <w:pPr>
        <w:rPr>
          <w:rFonts w:ascii="Arial" w:hAnsi="Arial" w:cs="Arial"/>
          <w:b/>
          <w:color w:val="303030"/>
          <w:sz w:val="20"/>
          <w:szCs w:val="20"/>
        </w:rPr>
      </w:pPr>
      <w:r w:rsidRPr="00174E88">
        <w:rPr>
          <w:rFonts w:ascii="Arial" w:hAnsi="Arial" w:cs="Arial"/>
          <w:b/>
          <w:color w:val="303030"/>
          <w:sz w:val="20"/>
          <w:szCs w:val="20"/>
        </w:rPr>
        <w:t>Noncredit cour</w:t>
      </w:r>
      <w:r w:rsidR="00F33B3D">
        <w:rPr>
          <w:rFonts w:ascii="Arial" w:hAnsi="Arial" w:cs="Arial"/>
          <w:b/>
          <w:color w:val="303030"/>
          <w:sz w:val="20"/>
          <w:szCs w:val="20"/>
        </w:rPr>
        <w:t>ses, offered in the four distinct</w:t>
      </w:r>
      <w:r w:rsidRPr="00174E88">
        <w:rPr>
          <w:rFonts w:ascii="Arial" w:hAnsi="Arial" w:cs="Arial"/>
          <w:b/>
          <w:color w:val="303030"/>
          <w:sz w:val="20"/>
          <w:szCs w:val="20"/>
        </w:rPr>
        <w:t xml:space="preserve"> categories (instructional domains) of English as a Second Language (ESL), Elementary and Secondary Basic Skills, Short-term Vocational, and Workforce Preparation</w:t>
      </w:r>
      <w:r w:rsidR="00F33B3D">
        <w:rPr>
          <w:rFonts w:ascii="Arial" w:hAnsi="Arial" w:cs="Arial"/>
          <w:b/>
          <w:color w:val="303030"/>
          <w:sz w:val="20"/>
          <w:szCs w:val="20"/>
        </w:rPr>
        <w:t xml:space="preserve">, </w:t>
      </w:r>
      <w:r w:rsidRPr="00174E88">
        <w:rPr>
          <w:rFonts w:ascii="Arial" w:hAnsi="Arial" w:cs="Arial"/>
          <w:b/>
          <w:color w:val="303030"/>
          <w:sz w:val="20"/>
          <w:szCs w:val="20"/>
        </w:rPr>
        <w:t xml:space="preserve">are eligible for </w:t>
      </w:r>
      <w:r w:rsidRPr="00174E88">
        <w:rPr>
          <w:rFonts w:ascii="Arial" w:hAnsi="Arial" w:cs="Arial"/>
          <w:b/>
          <w:color w:val="FF0000"/>
          <w:sz w:val="20"/>
          <w:szCs w:val="20"/>
        </w:rPr>
        <w:t xml:space="preserve">"enhanced funding" </w:t>
      </w:r>
      <w:r w:rsidRPr="00174E88">
        <w:rPr>
          <w:rFonts w:ascii="Arial" w:hAnsi="Arial" w:cs="Arial"/>
          <w:b/>
          <w:color w:val="303030"/>
          <w:sz w:val="20"/>
          <w:szCs w:val="20"/>
        </w:rPr>
        <w:t>when sequenced to lead to a Chancellor's Office approved certificate of completion, or certificate of competency, in accordance with the provisions of the California Education code governing Career Development and College Preparation (CDCP) programs</w:t>
      </w:r>
      <w:r w:rsidR="00F33B3D">
        <w:rPr>
          <w:rFonts w:ascii="Arial" w:hAnsi="Arial" w:cs="Arial"/>
          <w:b/>
          <w:color w:val="303030"/>
          <w:sz w:val="20"/>
          <w:szCs w:val="20"/>
        </w:rPr>
        <w:t xml:space="preserve">. </w:t>
      </w:r>
    </w:p>
    <w:p w:rsidR="0069698C" w:rsidRPr="00FE334B" w:rsidRDefault="0069698C" w:rsidP="00FF1651">
      <w:pPr>
        <w:rPr>
          <w:rFonts w:ascii="Arial" w:hAnsi="Arial" w:cs="Arial"/>
          <w:color w:val="303030"/>
          <w:sz w:val="20"/>
          <w:szCs w:val="20"/>
        </w:rPr>
      </w:pPr>
      <w:r w:rsidRPr="00FE334B">
        <w:rPr>
          <w:rFonts w:ascii="Arial" w:hAnsi="Arial" w:cs="Arial"/>
          <w:color w:val="303030"/>
          <w:sz w:val="20"/>
          <w:szCs w:val="20"/>
        </w:rPr>
        <w:t xml:space="preserve">The enactment of the Community College Funding Legislation (Senate Bill 361, Scott 2006) established the Career Development and the College Preparation </w:t>
      </w:r>
      <w:r w:rsidR="00F33B3D">
        <w:rPr>
          <w:rFonts w:ascii="Arial" w:hAnsi="Arial" w:cs="Arial"/>
          <w:color w:val="303030"/>
          <w:sz w:val="20"/>
          <w:szCs w:val="20"/>
        </w:rPr>
        <w:t xml:space="preserve">(CDCP) program. Certificates are </w:t>
      </w:r>
      <w:r w:rsidRPr="00FE334B">
        <w:rPr>
          <w:rFonts w:ascii="Arial" w:hAnsi="Arial" w:cs="Arial"/>
          <w:color w:val="303030"/>
          <w:sz w:val="20"/>
          <w:szCs w:val="20"/>
        </w:rPr>
        <w:t>offered in several areas of study. Colleges may offer noncredit programs of two or more courses to prepare students for employment or to be successful in college-level credit coursework.</w:t>
      </w:r>
    </w:p>
    <w:p w:rsidR="00FF1651" w:rsidRPr="000F2757" w:rsidRDefault="00FF1651" w:rsidP="00FF1651">
      <w:pPr>
        <w:rPr>
          <w:rFonts w:ascii="Arial" w:hAnsi="Arial" w:cs="Arial"/>
          <w:sz w:val="20"/>
          <w:szCs w:val="20"/>
        </w:rPr>
      </w:pPr>
      <w:r w:rsidRPr="000F2757">
        <w:rPr>
          <w:rFonts w:ascii="Arial" w:hAnsi="Arial" w:cs="Arial"/>
          <w:sz w:val="20"/>
          <w:szCs w:val="20"/>
        </w:rPr>
        <w:t xml:space="preserve">Noncredit apportionment is limited </w:t>
      </w:r>
      <w:r w:rsidR="008F44CF" w:rsidRPr="000F2757">
        <w:rPr>
          <w:rFonts w:ascii="Arial" w:hAnsi="Arial" w:cs="Arial"/>
          <w:sz w:val="20"/>
          <w:szCs w:val="20"/>
        </w:rPr>
        <w:t xml:space="preserve">to ten </w:t>
      </w:r>
      <w:r w:rsidR="000F2757">
        <w:rPr>
          <w:rFonts w:ascii="Arial" w:hAnsi="Arial" w:cs="Arial"/>
          <w:sz w:val="20"/>
          <w:szCs w:val="20"/>
        </w:rPr>
        <w:t xml:space="preserve">legislated </w:t>
      </w:r>
      <w:r w:rsidR="000F2757" w:rsidRPr="000F2757">
        <w:rPr>
          <w:rFonts w:ascii="Arial" w:hAnsi="Arial" w:cs="Arial"/>
          <w:sz w:val="20"/>
          <w:szCs w:val="20"/>
        </w:rPr>
        <w:t>areas (disciplines)</w:t>
      </w:r>
      <w:r w:rsidR="008F44CF" w:rsidRPr="000F2757">
        <w:rPr>
          <w:rFonts w:ascii="Arial" w:hAnsi="Arial" w:cs="Arial"/>
          <w:sz w:val="20"/>
          <w:szCs w:val="20"/>
        </w:rPr>
        <w:t xml:space="preserve">, as such all non-credit courses </w:t>
      </w:r>
      <w:r w:rsidR="000F2757" w:rsidRPr="000F2757">
        <w:rPr>
          <w:rFonts w:ascii="Arial" w:hAnsi="Arial" w:cs="Arial"/>
          <w:sz w:val="20"/>
          <w:szCs w:val="20"/>
        </w:rPr>
        <w:t>must</w:t>
      </w:r>
      <w:r w:rsidR="008F44CF" w:rsidRPr="000F2757">
        <w:rPr>
          <w:rFonts w:ascii="Arial" w:hAnsi="Arial" w:cs="Arial"/>
          <w:sz w:val="20"/>
          <w:szCs w:val="20"/>
        </w:rPr>
        <w:t xml:space="preserve"> fall under one of the following 10 </w:t>
      </w:r>
      <w:r w:rsidR="000F2757" w:rsidRPr="000F2757">
        <w:rPr>
          <w:rFonts w:ascii="Arial" w:hAnsi="Arial" w:cs="Arial"/>
          <w:sz w:val="20"/>
          <w:szCs w:val="20"/>
        </w:rPr>
        <w:t>areas</w:t>
      </w:r>
      <w:r w:rsidR="000F2757">
        <w:rPr>
          <w:rFonts w:ascii="Arial" w:hAnsi="Arial" w:cs="Arial"/>
          <w:sz w:val="20"/>
          <w:szCs w:val="20"/>
        </w:rPr>
        <w:t xml:space="preserve"> (disciplines)</w:t>
      </w:r>
      <w:r w:rsidR="000F2757" w:rsidRPr="000F2757">
        <w:rPr>
          <w:rFonts w:ascii="Arial" w:hAnsi="Arial" w:cs="Arial"/>
          <w:sz w:val="20"/>
          <w:szCs w:val="20"/>
        </w:rPr>
        <w:t>. The placement of a course in</w:t>
      </w:r>
      <w:r w:rsidR="000F2757">
        <w:rPr>
          <w:rFonts w:ascii="Arial" w:hAnsi="Arial" w:cs="Arial"/>
          <w:sz w:val="20"/>
          <w:szCs w:val="20"/>
        </w:rPr>
        <w:t>to</w:t>
      </w:r>
      <w:r w:rsidR="000F2757" w:rsidRPr="000F2757">
        <w:rPr>
          <w:rFonts w:ascii="Arial" w:hAnsi="Arial" w:cs="Arial"/>
          <w:sz w:val="20"/>
          <w:szCs w:val="20"/>
        </w:rPr>
        <w:t xml:space="preserve"> a given instructional </w:t>
      </w:r>
      <w:r w:rsidR="000F2757">
        <w:rPr>
          <w:rFonts w:ascii="Arial" w:hAnsi="Arial" w:cs="Arial"/>
          <w:sz w:val="20"/>
          <w:szCs w:val="20"/>
        </w:rPr>
        <w:t>discipline</w:t>
      </w:r>
      <w:r w:rsidR="000F2757" w:rsidRPr="000F2757">
        <w:rPr>
          <w:rFonts w:ascii="Arial" w:hAnsi="Arial" w:cs="Arial"/>
          <w:sz w:val="20"/>
          <w:szCs w:val="20"/>
        </w:rPr>
        <w:t xml:space="preserve"> is driven by the course objectives and the target population to be served.</w:t>
      </w:r>
      <w:r w:rsidR="008F44CF" w:rsidRPr="000F2757">
        <w:rPr>
          <w:rFonts w:ascii="Arial" w:hAnsi="Arial" w:cs="Arial"/>
          <w:sz w:val="20"/>
          <w:szCs w:val="20"/>
        </w:rPr>
        <w:t xml:space="preserve"> </w:t>
      </w:r>
      <w:r w:rsidR="00557E8B">
        <w:rPr>
          <w:rFonts w:ascii="Arial" w:hAnsi="Arial" w:cs="Arial"/>
          <w:b/>
          <w:bCs/>
          <w:color w:val="000000" w:themeColor="text1"/>
          <w:sz w:val="20"/>
          <w:szCs w:val="20"/>
        </w:rPr>
        <w:t xml:space="preserve">All CHC noncredit courses </w:t>
      </w:r>
      <w:r w:rsidR="000A0B95" w:rsidRPr="000F2757">
        <w:rPr>
          <w:rFonts w:ascii="Arial" w:hAnsi="Arial" w:cs="Arial"/>
          <w:b/>
          <w:bCs/>
          <w:color w:val="000000" w:themeColor="text1"/>
          <w:sz w:val="20"/>
          <w:szCs w:val="20"/>
        </w:rPr>
        <w:t xml:space="preserve">can be created using </w:t>
      </w:r>
      <w:r w:rsidR="00557E8B">
        <w:rPr>
          <w:rFonts w:ascii="Arial" w:hAnsi="Arial" w:cs="Arial"/>
          <w:b/>
          <w:bCs/>
          <w:color w:val="000000" w:themeColor="text1"/>
          <w:sz w:val="20"/>
          <w:szCs w:val="20"/>
        </w:rPr>
        <w:t xml:space="preserve">either one of the Initial Noncredit Course IDs as noted below or an </w:t>
      </w:r>
      <w:r w:rsidR="000A0B95" w:rsidRPr="000F2757">
        <w:rPr>
          <w:rFonts w:ascii="Arial" w:hAnsi="Arial" w:cs="Arial"/>
          <w:b/>
          <w:bCs/>
          <w:color w:val="000000" w:themeColor="text1"/>
          <w:sz w:val="20"/>
          <w:szCs w:val="20"/>
        </w:rPr>
        <w:t>existing CHC alpha course Identifier</w:t>
      </w:r>
      <w:r w:rsidR="00557E8B">
        <w:rPr>
          <w:rFonts w:ascii="Arial" w:hAnsi="Arial" w:cs="Arial"/>
          <w:b/>
          <w:bCs/>
          <w:color w:val="000000" w:themeColor="text1"/>
          <w:sz w:val="20"/>
          <w:szCs w:val="20"/>
        </w:rPr>
        <w:t xml:space="preserve"> followed by a /N and a number from the 600’s. All</w:t>
      </w:r>
      <w:r w:rsidR="000A0B95" w:rsidRPr="000F2757">
        <w:rPr>
          <w:rFonts w:ascii="Arial" w:hAnsi="Arial" w:cs="Arial"/>
          <w:b/>
          <w:bCs/>
          <w:color w:val="000000" w:themeColor="text1"/>
          <w:sz w:val="20"/>
          <w:szCs w:val="20"/>
        </w:rPr>
        <w:t xml:space="preserve"> new alpha course ID’s will need to be approved by </w:t>
      </w:r>
      <w:r w:rsidR="00557E8B">
        <w:rPr>
          <w:rFonts w:ascii="Arial" w:hAnsi="Arial" w:cs="Arial"/>
          <w:b/>
          <w:bCs/>
          <w:color w:val="000000" w:themeColor="text1"/>
          <w:sz w:val="20"/>
          <w:szCs w:val="20"/>
        </w:rPr>
        <w:t xml:space="preserve">the </w:t>
      </w:r>
      <w:r w:rsidR="00F33B3D">
        <w:rPr>
          <w:rFonts w:ascii="Arial" w:hAnsi="Arial" w:cs="Arial"/>
          <w:b/>
          <w:bCs/>
          <w:color w:val="000000" w:themeColor="text1"/>
          <w:sz w:val="20"/>
          <w:szCs w:val="20"/>
        </w:rPr>
        <w:t xml:space="preserve">assigned department </w:t>
      </w:r>
      <w:r w:rsidR="000A0B95" w:rsidRPr="000F2757">
        <w:rPr>
          <w:rFonts w:ascii="Arial" w:hAnsi="Arial" w:cs="Arial"/>
          <w:b/>
          <w:bCs/>
          <w:color w:val="000000" w:themeColor="text1"/>
          <w:sz w:val="20"/>
          <w:szCs w:val="20"/>
        </w:rPr>
        <w:t xml:space="preserve">chair(s) &amp; </w:t>
      </w:r>
      <w:r w:rsidR="00FE334B" w:rsidRPr="000F2757">
        <w:rPr>
          <w:rFonts w:ascii="Arial" w:hAnsi="Arial" w:cs="Arial"/>
          <w:b/>
          <w:bCs/>
          <w:color w:val="000000" w:themeColor="text1"/>
          <w:sz w:val="20"/>
          <w:szCs w:val="20"/>
        </w:rPr>
        <w:t>by the CHC Academic Senate.</w:t>
      </w:r>
    </w:p>
    <w:tbl>
      <w:tblPr>
        <w:tblStyle w:val="TableGrid"/>
        <w:tblW w:w="14390" w:type="dxa"/>
        <w:tblLayout w:type="fixed"/>
        <w:tblLook w:val="04A0" w:firstRow="1" w:lastRow="0" w:firstColumn="1" w:lastColumn="0" w:noHBand="0" w:noVBand="1"/>
      </w:tblPr>
      <w:tblGrid>
        <w:gridCol w:w="1615"/>
        <w:gridCol w:w="1260"/>
        <w:gridCol w:w="1440"/>
        <w:gridCol w:w="1440"/>
        <w:gridCol w:w="4410"/>
        <w:gridCol w:w="4225"/>
      </w:tblGrid>
      <w:tr w:rsidR="003E1079" w:rsidTr="00557E8B">
        <w:tc>
          <w:tcPr>
            <w:tcW w:w="1615" w:type="dxa"/>
            <w:shd w:val="clear" w:color="auto" w:fill="D9E2F3" w:themeFill="accent5" w:themeFillTint="33"/>
            <w:vAlign w:val="center"/>
          </w:tcPr>
          <w:p w:rsidR="003E1079" w:rsidRPr="00557E8B" w:rsidRDefault="003E1079" w:rsidP="00174E88">
            <w:pPr>
              <w:jc w:val="center"/>
              <w:rPr>
                <w:rFonts w:ascii="Arial" w:hAnsi="Arial" w:cs="Arial"/>
                <w:b/>
                <w:sz w:val="20"/>
                <w:szCs w:val="20"/>
              </w:rPr>
            </w:pPr>
            <w:r w:rsidRPr="00557E8B">
              <w:rPr>
                <w:rFonts w:ascii="Arial" w:hAnsi="Arial" w:cs="Arial"/>
                <w:b/>
                <w:sz w:val="20"/>
                <w:szCs w:val="20"/>
              </w:rPr>
              <w:t xml:space="preserve">Noncredit </w:t>
            </w:r>
            <w:r w:rsidR="00557E8B" w:rsidRPr="00557E8B">
              <w:rPr>
                <w:rFonts w:ascii="Arial" w:hAnsi="Arial" w:cs="Arial"/>
                <w:b/>
                <w:sz w:val="20"/>
                <w:szCs w:val="20"/>
              </w:rPr>
              <w:t>Areas (</w:t>
            </w:r>
            <w:r w:rsidRPr="00557E8B">
              <w:rPr>
                <w:rFonts w:ascii="Arial" w:hAnsi="Arial" w:cs="Arial"/>
                <w:b/>
                <w:sz w:val="20"/>
                <w:szCs w:val="20"/>
              </w:rPr>
              <w:t>Discipline</w:t>
            </w:r>
            <w:r w:rsidR="00557E8B" w:rsidRPr="00557E8B">
              <w:rPr>
                <w:rFonts w:ascii="Arial" w:hAnsi="Arial" w:cs="Arial"/>
                <w:b/>
                <w:sz w:val="20"/>
                <w:szCs w:val="20"/>
              </w:rPr>
              <w:t>s)</w:t>
            </w:r>
          </w:p>
        </w:tc>
        <w:tc>
          <w:tcPr>
            <w:tcW w:w="1260" w:type="dxa"/>
            <w:shd w:val="clear" w:color="auto" w:fill="D9E2F3" w:themeFill="accent5" w:themeFillTint="33"/>
            <w:vAlign w:val="center"/>
          </w:tcPr>
          <w:p w:rsidR="003E1079" w:rsidRPr="00557E8B" w:rsidRDefault="00231C6C" w:rsidP="00174E88">
            <w:pPr>
              <w:jc w:val="center"/>
              <w:rPr>
                <w:rFonts w:ascii="Arial" w:hAnsi="Arial" w:cs="Arial"/>
                <w:b/>
                <w:color w:val="000000"/>
                <w:sz w:val="20"/>
                <w:szCs w:val="20"/>
              </w:rPr>
            </w:pPr>
            <w:r>
              <w:rPr>
                <w:rFonts w:ascii="Arial" w:hAnsi="Arial" w:cs="Arial"/>
                <w:b/>
                <w:color w:val="000000"/>
                <w:sz w:val="20"/>
                <w:szCs w:val="20"/>
              </w:rPr>
              <w:t xml:space="preserve">Initial </w:t>
            </w:r>
            <w:r w:rsidR="00557E8B" w:rsidRPr="00557E8B">
              <w:rPr>
                <w:rFonts w:ascii="Arial" w:hAnsi="Arial" w:cs="Arial"/>
                <w:b/>
                <w:color w:val="000000"/>
                <w:sz w:val="20"/>
                <w:szCs w:val="20"/>
              </w:rPr>
              <w:t xml:space="preserve">Assigned </w:t>
            </w:r>
            <w:r w:rsidR="003E1079" w:rsidRPr="00557E8B">
              <w:rPr>
                <w:rFonts w:ascii="Arial" w:hAnsi="Arial" w:cs="Arial"/>
                <w:b/>
                <w:color w:val="000000"/>
                <w:sz w:val="20"/>
                <w:szCs w:val="20"/>
              </w:rPr>
              <w:t>Dean</w:t>
            </w:r>
          </w:p>
        </w:tc>
        <w:tc>
          <w:tcPr>
            <w:tcW w:w="1440" w:type="dxa"/>
            <w:shd w:val="clear" w:color="auto" w:fill="D9E2F3" w:themeFill="accent5" w:themeFillTint="33"/>
            <w:vAlign w:val="center"/>
          </w:tcPr>
          <w:p w:rsidR="003E1079" w:rsidRPr="00557E8B" w:rsidRDefault="00231C6C" w:rsidP="00174E88">
            <w:pPr>
              <w:jc w:val="center"/>
              <w:rPr>
                <w:rFonts w:ascii="Arial" w:hAnsi="Arial" w:cs="Arial"/>
                <w:b/>
                <w:sz w:val="20"/>
                <w:szCs w:val="20"/>
              </w:rPr>
            </w:pPr>
            <w:r>
              <w:rPr>
                <w:rFonts w:ascii="Arial" w:hAnsi="Arial" w:cs="Arial"/>
                <w:b/>
                <w:color w:val="000000"/>
                <w:sz w:val="20"/>
                <w:szCs w:val="20"/>
              </w:rPr>
              <w:t xml:space="preserve">Initial </w:t>
            </w:r>
            <w:r w:rsidR="003E1079" w:rsidRPr="00557E8B">
              <w:rPr>
                <w:rFonts w:ascii="Arial" w:hAnsi="Arial" w:cs="Arial"/>
                <w:b/>
                <w:color w:val="000000"/>
                <w:sz w:val="20"/>
                <w:szCs w:val="20"/>
              </w:rPr>
              <w:t>Assigned Departments</w:t>
            </w:r>
          </w:p>
        </w:tc>
        <w:tc>
          <w:tcPr>
            <w:tcW w:w="1440" w:type="dxa"/>
            <w:shd w:val="clear" w:color="auto" w:fill="D9E2F3" w:themeFill="accent5" w:themeFillTint="33"/>
            <w:vAlign w:val="center"/>
          </w:tcPr>
          <w:p w:rsidR="003E1079" w:rsidRPr="00557E8B" w:rsidRDefault="003E1079" w:rsidP="00174E88">
            <w:pPr>
              <w:jc w:val="center"/>
              <w:rPr>
                <w:rFonts w:ascii="Arial" w:hAnsi="Arial" w:cs="Arial"/>
                <w:b/>
                <w:color w:val="000000"/>
                <w:sz w:val="20"/>
                <w:szCs w:val="20"/>
              </w:rPr>
            </w:pPr>
            <w:r w:rsidRPr="00557E8B">
              <w:rPr>
                <w:rFonts w:ascii="Arial" w:hAnsi="Arial" w:cs="Arial"/>
                <w:b/>
                <w:color w:val="000000"/>
                <w:sz w:val="20"/>
                <w:szCs w:val="20"/>
              </w:rPr>
              <w:t>Initial Course IDs</w:t>
            </w:r>
          </w:p>
        </w:tc>
        <w:tc>
          <w:tcPr>
            <w:tcW w:w="4410" w:type="dxa"/>
            <w:shd w:val="clear" w:color="auto" w:fill="D9E2F3" w:themeFill="accent5" w:themeFillTint="33"/>
            <w:vAlign w:val="center"/>
          </w:tcPr>
          <w:p w:rsidR="003E1079" w:rsidRPr="00557E8B" w:rsidRDefault="003E1079" w:rsidP="00174E88">
            <w:pPr>
              <w:jc w:val="center"/>
              <w:rPr>
                <w:rFonts w:ascii="Arial" w:hAnsi="Arial" w:cs="Arial"/>
                <w:b/>
                <w:color w:val="000000"/>
                <w:sz w:val="20"/>
                <w:szCs w:val="20"/>
              </w:rPr>
            </w:pPr>
            <w:r w:rsidRPr="00557E8B">
              <w:rPr>
                <w:rFonts w:ascii="Arial" w:hAnsi="Arial" w:cs="Arial"/>
                <w:b/>
                <w:color w:val="000000"/>
                <w:sz w:val="20"/>
                <w:szCs w:val="20"/>
              </w:rPr>
              <w:t>Curriculum/course descriptor</w:t>
            </w:r>
          </w:p>
        </w:tc>
        <w:tc>
          <w:tcPr>
            <w:tcW w:w="4225" w:type="dxa"/>
            <w:shd w:val="clear" w:color="auto" w:fill="D9E2F3" w:themeFill="accent5" w:themeFillTint="33"/>
            <w:vAlign w:val="center"/>
          </w:tcPr>
          <w:p w:rsidR="003E1079" w:rsidRPr="00557E8B" w:rsidRDefault="003E1079" w:rsidP="00557E8B">
            <w:pPr>
              <w:jc w:val="center"/>
              <w:rPr>
                <w:rFonts w:ascii="Arial" w:hAnsi="Arial" w:cs="Arial"/>
                <w:b/>
                <w:sz w:val="20"/>
                <w:szCs w:val="20"/>
              </w:rPr>
            </w:pPr>
            <w:r w:rsidRPr="00557E8B">
              <w:rPr>
                <w:rFonts w:ascii="Arial" w:hAnsi="Arial" w:cs="Arial"/>
                <w:b/>
                <w:sz w:val="20"/>
                <w:szCs w:val="20"/>
              </w:rPr>
              <w:t>M</w:t>
            </w:r>
            <w:r w:rsidR="00557E8B" w:rsidRPr="00557E8B">
              <w:rPr>
                <w:rFonts w:ascii="Arial" w:hAnsi="Arial" w:cs="Arial"/>
                <w:b/>
                <w:sz w:val="20"/>
                <w:szCs w:val="20"/>
              </w:rPr>
              <w:t xml:space="preserve">inimum </w:t>
            </w:r>
            <w:r w:rsidRPr="00557E8B">
              <w:rPr>
                <w:rFonts w:ascii="Arial" w:hAnsi="Arial" w:cs="Arial"/>
                <w:b/>
                <w:sz w:val="20"/>
                <w:szCs w:val="20"/>
              </w:rPr>
              <w:t>Q</w:t>
            </w:r>
            <w:r w:rsidR="00557E8B" w:rsidRPr="00557E8B">
              <w:rPr>
                <w:rFonts w:ascii="Arial" w:hAnsi="Arial" w:cs="Arial"/>
                <w:b/>
                <w:sz w:val="20"/>
                <w:szCs w:val="20"/>
              </w:rPr>
              <w:t>ualification</w:t>
            </w:r>
            <w:r w:rsidRPr="00557E8B">
              <w:rPr>
                <w:rFonts w:ascii="Arial" w:hAnsi="Arial" w:cs="Arial"/>
                <w:b/>
                <w:sz w:val="20"/>
                <w:szCs w:val="20"/>
              </w:rPr>
              <w:t>s</w:t>
            </w:r>
          </w:p>
        </w:tc>
      </w:tr>
      <w:tr w:rsidR="003E1079" w:rsidTr="003E1079">
        <w:tc>
          <w:tcPr>
            <w:tcW w:w="14390" w:type="dxa"/>
            <w:gridSpan w:val="6"/>
            <w:shd w:val="clear" w:color="auto" w:fill="000000" w:themeFill="text1"/>
          </w:tcPr>
          <w:p w:rsidR="003E1079" w:rsidRPr="00557E8B" w:rsidRDefault="003E1079" w:rsidP="00174E88">
            <w:pPr>
              <w:rPr>
                <w:rFonts w:ascii="Arial" w:hAnsi="Arial" w:cs="Arial"/>
                <w:b/>
                <w:color w:val="FFFFFF" w:themeColor="background1"/>
                <w:sz w:val="20"/>
                <w:szCs w:val="20"/>
              </w:rPr>
            </w:pPr>
            <w:r w:rsidRPr="00557E8B">
              <w:rPr>
                <w:rFonts w:ascii="Arial" w:hAnsi="Arial" w:cs="Arial"/>
                <w:b/>
                <w:color w:val="FFFFFF" w:themeColor="background1"/>
                <w:sz w:val="20"/>
                <w:szCs w:val="20"/>
              </w:rPr>
              <w:t>The following four Noncredit areas are eligible for Enhanced Funding:  to be eligible for enhanced funding the courses must be sequenced to lead to a Chancellor's Office approved certificate of completion, or certificate of competency, in accordance with the provisions of the California Education code governing Career Development and College Preparation (CDCP) programs</w:t>
            </w:r>
          </w:p>
        </w:tc>
      </w:tr>
      <w:tr w:rsidR="003E1079" w:rsidTr="00557E8B">
        <w:tc>
          <w:tcPr>
            <w:tcW w:w="1615" w:type="dxa"/>
          </w:tcPr>
          <w:p w:rsidR="003E1079" w:rsidRPr="00557E8B" w:rsidRDefault="003E1079" w:rsidP="00E60686">
            <w:pPr>
              <w:rPr>
                <w:rFonts w:ascii="Arial" w:hAnsi="Arial" w:cs="Arial"/>
                <w:sz w:val="20"/>
                <w:szCs w:val="20"/>
              </w:rPr>
            </w:pPr>
            <w:r w:rsidRPr="00557E8B">
              <w:rPr>
                <w:rFonts w:ascii="Arial" w:hAnsi="Arial" w:cs="Arial"/>
                <w:sz w:val="20"/>
                <w:szCs w:val="20"/>
              </w:rPr>
              <w:t>Elementary and Secondary Basic Skills*</w:t>
            </w:r>
          </w:p>
          <w:p w:rsidR="003E1079" w:rsidRPr="00557E8B" w:rsidRDefault="003E1079" w:rsidP="00E60686">
            <w:pPr>
              <w:rPr>
                <w:rFonts w:ascii="Arial" w:hAnsi="Arial" w:cs="Arial"/>
                <w:b/>
                <w:color w:val="FF0000"/>
                <w:sz w:val="20"/>
                <w:szCs w:val="20"/>
              </w:rPr>
            </w:pPr>
          </w:p>
          <w:p w:rsidR="003E1079" w:rsidRPr="00557E8B" w:rsidRDefault="003E1079" w:rsidP="008C2E5B">
            <w:pPr>
              <w:rPr>
                <w:rFonts w:ascii="Arial" w:hAnsi="Arial" w:cs="Arial"/>
                <w:sz w:val="20"/>
                <w:szCs w:val="20"/>
              </w:rPr>
            </w:pPr>
            <w:r w:rsidRPr="00557E8B">
              <w:rPr>
                <w:rFonts w:ascii="Arial" w:hAnsi="Arial" w:cs="Arial"/>
                <w:sz w:val="20"/>
                <w:szCs w:val="20"/>
              </w:rPr>
              <w:t>*(MQs for ESBS are defined in 3 separate ESBS NC disciplines:</w:t>
            </w:r>
          </w:p>
          <w:p w:rsidR="003E1079" w:rsidRPr="00557E8B" w:rsidRDefault="003E1079" w:rsidP="008C2E5B">
            <w:pPr>
              <w:rPr>
                <w:rFonts w:ascii="Arial" w:hAnsi="Arial" w:cs="Arial"/>
                <w:sz w:val="20"/>
                <w:szCs w:val="20"/>
              </w:rPr>
            </w:pPr>
            <w:r w:rsidRPr="00557E8B">
              <w:rPr>
                <w:rFonts w:ascii="Arial" w:hAnsi="Arial" w:cs="Arial"/>
                <w:sz w:val="20"/>
                <w:szCs w:val="20"/>
              </w:rPr>
              <w:t>ESBS Math</w:t>
            </w:r>
          </w:p>
          <w:p w:rsidR="003E1079" w:rsidRPr="00557E8B" w:rsidRDefault="003E1079" w:rsidP="008C2E5B">
            <w:pPr>
              <w:rPr>
                <w:rFonts w:ascii="Arial" w:hAnsi="Arial" w:cs="Arial"/>
                <w:sz w:val="20"/>
                <w:szCs w:val="20"/>
              </w:rPr>
            </w:pPr>
            <w:r w:rsidRPr="00557E8B">
              <w:rPr>
                <w:rFonts w:ascii="Arial" w:hAnsi="Arial" w:cs="Arial"/>
                <w:sz w:val="20"/>
                <w:szCs w:val="20"/>
              </w:rPr>
              <w:t>ESBS Writing</w:t>
            </w:r>
          </w:p>
          <w:p w:rsidR="003E1079" w:rsidRPr="00557E8B" w:rsidRDefault="003E1079" w:rsidP="008C2E5B">
            <w:pPr>
              <w:rPr>
                <w:rFonts w:ascii="Arial" w:hAnsi="Arial" w:cs="Arial"/>
                <w:sz w:val="20"/>
                <w:szCs w:val="20"/>
              </w:rPr>
            </w:pPr>
            <w:r w:rsidRPr="00557E8B">
              <w:rPr>
                <w:rFonts w:ascii="Arial" w:hAnsi="Arial" w:cs="Arial"/>
                <w:sz w:val="20"/>
                <w:szCs w:val="20"/>
              </w:rPr>
              <w:t>ESBS Reading)</w:t>
            </w:r>
          </w:p>
        </w:tc>
        <w:tc>
          <w:tcPr>
            <w:tcW w:w="1260" w:type="dxa"/>
          </w:tcPr>
          <w:p w:rsidR="003E1079" w:rsidRPr="00557E8B" w:rsidRDefault="003E1079" w:rsidP="008C2E5B">
            <w:pPr>
              <w:jc w:val="center"/>
              <w:rPr>
                <w:rFonts w:ascii="Arial" w:hAnsi="Arial" w:cs="Arial"/>
                <w:b/>
                <w:color w:val="000000"/>
                <w:sz w:val="20"/>
                <w:szCs w:val="20"/>
              </w:rPr>
            </w:pPr>
            <w:r w:rsidRPr="00557E8B">
              <w:rPr>
                <w:rFonts w:ascii="Arial" w:hAnsi="Arial" w:cs="Arial"/>
                <w:sz w:val="20"/>
                <w:szCs w:val="20"/>
              </w:rPr>
              <w:t>Dean of LAMS</w:t>
            </w:r>
          </w:p>
        </w:tc>
        <w:tc>
          <w:tcPr>
            <w:tcW w:w="1440" w:type="dxa"/>
          </w:tcPr>
          <w:p w:rsidR="003E1079" w:rsidRPr="00557E8B" w:rsidRDefault="003E1079" w:rsidP="00E60686">
            <w:pPr>
              <w:rPr>
                <w:rFonts w:ascii="Arial" w:hAnsi="Arial" w:cs="Arial"/>
                <w:sz w:val="20"/>
                <w:szCs w:val="20"/>
              </w:rPr>
            </w:pPr>
            <w:r w:rsidRPr="00557E8B">
              <w:rPr>
                <w:rFonts w:ascii="Arial" w:hAnsi="Arial" w:cs="Arial"/>
                <w:sz w:val="20"/>
                <w:szCs w:val="20"/>
              </w:rPr>
              <w:t>Math Dept</w:t>
            </w:r>
          </w:p>
          <w:p w:rsidR="003E1079" w:rsidRPr="00557E8B" w:rsidRDefault="003E1079" w:rsidP="00E60686">
            <w:pPr>
              <w:rPr>
                <w:rFonts w:ascii="Arial" w:hAnsi="Arial" w:cs="Arial"/>
                <w:sz w:val="20"/>
                <w:szCs w:val="20"/>
              </w:rPr>
            </w:pPr>
            <w:r w:rsidRPr="00557E8B">
              <w:rPr>
                <w:rFonts w:ascii="Arial" w:hAnsi="Arial" w:cs="Arial"/>
                <w:sz w:val="20"/>
                <w:szCs w:val="20"/>
              </w:rPr>
              <w:t xml:space="preserve">English Dept </w:t>
            </w:r>
          </w:p>
          <w:p w:rsidR="003E1079" w:rsidRPr="00557E8B" w:rsidRDefault="003E1079" w:rsidP="008C2E5B">
            <w:pPr>
              <w:jc w:val="center"/>
              <w:rPr>
                <w:rFonts w:ascii="Arial" w:hAnsi="Arial" w:cs="Arial"/>
                <w:b/>
                <w:color w:val="000000"/>
                <w:sz w:val="20"/>
                <w:szCs w:val="20"/>
              </w:rPr>
            </w:pPr>
          </w:p>
        </w:tc>
        <w:tc>
          <w:tcPr>
            <w:tcW w:w="1440" w:type="dxa"/>
          </w:tcPr>
          <w:p w:rsidR="003E1079" w:rsidRPr="00557E8B" w:rsidRDefault="003E1079" w:rsidP="00E60686">
            <w:pPr>
              <w:rPr>
                <w:rFonts w:ascii="Arial" w:hAnsi="Arial" w:cs="Arial"/>
                <w:sz w:val="20"/>
                <w:szCs w:val="20"/>
              </w:rPr>
            </w:pPr>
            <w:r w:rsidRPr="00557E8B">
              <w:rPr>
                <w:rFonts w:ascii="Arial" w:hAnsi="Arial" w:cs="Arial"/>
                <w:sz w:val="20"/>
                <w:szCs w:val="20"/>
              </w:rPr>
              <w:t>MATH/N-6xx</w:t>
            </w:r>
          </w:p>
          <w:p w:rsidR="003E1079" w:rsidRPr="00557E8B" w:rsidRDefault="003E1079" w:rsidP="00E60686">
            <w:pPr>
              <w:rPr>
                <w:rFonts w:ascii="Arial" w:hAnsi="Arial" w:cs="Arial"/>
                <w:sz w:val="20"/>
                <w:szCs w:val="20"/>
              </w:rPr>
            </w:pPr>
            <w:r w:rsidRPr="00557E8B">
              <w:rPr>
                <w:rFonts w:ascii="Arial" w:hAnsi="Arial" w:cs="Arial"/>
                <w:sz w:val="20"/>
                <w:szCs w:val="20"/>
              </w:rPr>
              <w:t>ENGL/N-6xx</w:t>
            </w:r>
          </w:p>
          <w:p w:rsidR="003E1079" w:rsidRPr="00557E8B" w:rsidRDefault="003E1079" w:rsidP="00E60686">
            <w:pPr>
              <w:rPr>
                <w:rFonts w:ascii="Arial" w:hAnsi="Arial" w:cs="Arial"/>
                <w:sz w:val="20"/>
                <w:szCs w:val="20"/>
              </w:rPr>
            </w:pPr>
            <w:r w:rsidRPr="00557E8B">
              <w:rPr>
                <w:rFonts w:ascii="Arial" w:hAnsi="Arial" w:cs="Arial"/>
                <w:sz w:val="20"/>
                <w:szCs w:val="20"/>
              </w:rPr>
              <w:t>WRIT/N-6xx</w:t>
            </w:r>
          </w:p>
        </w:tc>
        <w:tc>
          <w:tcPr>
            <w:tcW w:w="4410" w:type="dxa"/>
          </w:tcPr>
          <w:p w:rsidR="003E1079" w:rsidRPr="00557E8B" w:rsidRDefault="003E1079" w:rsidP="00E60686">
            <w:pPr>
              <w:rPr>
                <w:rFonts w:ascii="Arial" w:hAnsi="Arial" w:cs="Arial"/>
                <w:b/>
                <w:color w:val="000000"/>
                <w:sz w:val="20"/>
                <w:szCs w:val="20"/>
              </w:rPr>
            </w:pPr>
            <w:r w:rsidRPr="00557E8B">
              <w:rPr>
                <w:rFonts w:ascii="Arial" w:hAnsi="Arial" w:cs="Arial"/>
                <w:sz w:val="20"/>
                <w:szCs w:val="20"/>
              </w:rPr>
              <w:t xml:space="preserve">This curriculum is designed to provide instruction for individuals beginning at elementary and secondary levels in reading, writing, computation, and </w:t>
            </w:r>
            <w:r w:rsidR="00557E8B" w:rsidRPr="00557E8B">
              <w:rPr>
                <w:rFonts w:ascii="Arial" w:hAnsi="Arial" w:cs="Arial"/>
                <w:sz w:val="20"/>
                <w:szCs w:val="20"/>
              </w:rPr>
              <w:t>problem-solving</w:t>
            </w:r>
            <w:r w:rsidRPr="00557E8B">
              <w:rPr>
                <w:rFonts w:ascii="Arial" w:hAnsi="Arial" w:cs="Arial"/>
                <w:sz w:val="20"/>
                <w:szCs w:val="20"/>
              </w:rPr>
              <w:t xml:space="preserve"> skills.</w:t>
            </w:r>
            <w:r w:rsidR="00557E8B" w:rsidRPr="00557E8B">
              <w:rPr>
                <w:rFonts w:ascii="Arial" w:hAnsi="Arial" w:cs="Arial"/>
                <w:sz w:val="20"/>
                <w:szCs w:val="20"/>
              </w:rPr>
              <w:t xml:space="preserve"> </w:t>
            </w:r>
            <w:r w:rsidRPr="00557E8B">
              <w:rPr>
                <w:rFonts w:ascii="Arial" w:hAnsi="Arial" w:cs="Arial"/>
                <w:sz w:val="20"/>
                <w:szCs w:val="20"/>
              </w:rPr>
              <w:t>Elementary level skill development addresses the content and proficiencies at levels from first (1st) through the eighth (8th) grade. Secondary level instruction addresses the content and proficiencies at levels ninth (9th) through the twelfth (12th) grade and may incorporate a high school diploma or GED.</w:t>
            </w:r>
          </w:p>
        </w:tc>
        <w:tc>
          <w:tcPr>
            <w:tcW w:w="4225" w:type="dxa"/>
          </w:tcPr>
          <w:p w:rsidR="003E1079" w:rsidRPr="00557E8B" w:rsidRDefault="003E1079" w:rsidP="00E60686">
            <w:pPr>
              <w:pStyle w:val="NormalWeb"/>
              <w:spacing w:before="0" w:beforeAutospacing="0" w:after="0" w:afterAutospacing="0"/>
              <w:ind w:hanging="10"/>
              <w:rPr>
                <w:rFonts w:ascii="Arial" w:hAnsi="Arial" w:cs="Arial"/>
                <w:sz w:val="20"/>
                <w:szCs w:val="20"/>
              </w:rPr>
            </w:pPr>
            <w:r w:rsidRPr="00557E8B">
              <w:rPr>
                <w:rFonts w:ascii="Arial" w:hAnsi="Arial" w:cs="Arial"/>
                <w:color w:val="FF0000"/>
                <w:sz w:val="20"/>
                <w:szCs w:val="20"/>
              </w:rPr>
              <w:t xml:space="preserve">MATH/N </w:t>
            </w:r>
            <w:r w:rsidRPr="00557E8B">
              <w:rPr>
                <w:rFonts w:ascii="Arial" w:hAnsi="Arial" w:cs="Arial"/>
                <w:sz w:val="20"/>
                <w:szCs w:val="20"/>
              </w:rPr>
              <w:t>- Bachelor’s degree in mathematics</w:t>
            </w:r>
          </w:p>
          <w:p w:rsidR="003E1079" w:rsidRPr="00557E8B" w:rsidRDefault="003E1079" w:rsidP="00E60686">
            <w:pPr>
              <w:pStyle w:val="NormalWeb"/>
              <w:spacing w:before="0" w:beforeAutospacing="0" w:after="0" w:afterAutospacing="0"/>
              <w:ind w:hanging="10"/>
              <w:rPr>
                <w:rFonts w:ascii="Arial" w:hAnsi="Arial" w:cs="Arial"/>
                <w:bCs/>
                <w:iCs/>
                <w:color w:val="FF0000"/>
                <w:sz w:val="20"/>
                <w:szCs w:val="20"/>
              </w:rPr>
            </w:pPr>
          </w:p>
          <w:p w:rsidR="003E1079" w:rsidRPr="00557E8B" w:rsidRDefault="003E1079" w:rsidP="00E60686">
            <w:pPr>
              <w:pStyle w:val="NormalWeb"/>
              <w:spacing w:before="0" w:beforeAutospacing="0" w:after="0" w:afterAutospacing="0"/>
              <w:rPr>
                <w:rFonts w:ascii="Arial" w:hAnsi="Arial" w:cs="Arial"/>
                <w:sz w:val="20"/>
                <w:szCs w:val="20"/>
              </w:rPr>
            </w:pPr>
            <w:r w:rsidRPr="00557E8B">
              <w:rPr>
                <w:rFonts w:ascii="Arial" w:hAnsi="Arial" w:cs="Arial"/>
                <w:bCs/>
                <w:iCs/>
                <w:color w:val="FF0000"/>
                <w:sz w:val="20"/>
                <w:szCs w:val="20"/>
              </w:rPr>
              <w:t xml:space="preserve">WRIT/N </w:t>
            </w:r>
            <w:r w:rsidRPr="00557E8B">
              <w:rPr>
                <w:rFonts w:ascii="Arial" w:hAnsi="Arial" w:cs="Arial"/>
                <w:bCs/>
                <w:iCs/>
                <w:color w:val="000000"/>
                <w:sz w:val="20"/>
                <w:szCs w:val="20"/>
              </w:rPr>
              <w:t xml:space="preserve">- Master’s in English, literature, comparative literature, or composition </w:t>
            </w:r>
          </w:p>
          <w:p w:rsidR="003E1079" w:rsidRPr="00557E8B" w:rsidRDefault="003E1079" w:rsidP="00E60686">
            <w:pPr>
              <w:pStyle w:val="NormalWeb"/>
              <w:spacing w:before="0" w:beforeAutospacing="0" w:after="0" w:afterAutospacing="0"/>
              <w:ind w:hanging="10"/>
              <w:rPr>
                <w:rFonts w:ascii="Arial" w:hAnsi="Arial" w:cs="Arial"/>
                <w:sz w:val="20"/>
                <w:szCs w:val="20"/>
              </w:rPr>
            </w:pPr>
            <w:r w:rsidRPr="00557E8B">
              <w:rPr>
                <w:rFonts w:ascii="Arial" w:hAnsi="Arial" w:cs="Arial"/>
                <w:bCs/>
                <w:iCs/>
                <w:color w:val="000000"/>
                <w:sz w:val="20"/>
                <w:szCs w:val="20"/>
              </w:rPr>
              <w:t xml:space="preserve">OR </w:t>
            </w:r>
          </w:p>
          <w:p w:rsidR="003E1079" w:rsidRPr="00557E8B" w:rsidRDefault="003E1079" w:rsidP="00E60686">
            <w:pPr>
              <w:rPr>
                <w:rFonts w:ascii="Arial" w:hAnsi="Arial" w:cs="Arial"/>
                <w:sz w:val="20"/>
                <w:szCs w:val="20"/>
              </w:rPr>
            </w:pPr>
            <w:r w:rsidRPr="00557E8B">
              <w:rPr>
                <w:rFonts w:ascii="Arial" w:hAnsi="Arial" w:cs="Arial"/>
                <w:bCs/>
                <w:iCs/>
                <w:color w:val="000000"/>
                <w:sz w:val="20"/>
                <w:szCs w:val="20"/>
              </w:rPr>
              <w:t>Bachelor’s in any of the above AND Master’s in linguistics, TESL, speech, education with a specialization in reading, creative writing or journalism OR the equivalent</w:t>
            </w:r>
            <w:r w:rsidRPr="00557E8B">
              <w:rPr>
                <w:rFonts w:ascii="Arial" w:hAnsi="Arial" w:cs="Arial"/>
                <w:sz w:val="20"/>
                <w:szCs w:val="20"/>
              </w:rPr>
              <w:t>.</w:t>
            </w:r>
          </w:p>
          <w:p w:rsidR="003E1079" w:rsidRPr="00557E8B" w:rsidRDefault="003E1079" w:rsidP="00E60686">
            <w:pPr>
              <w:rPr>
                <w:rFonts w:ascii="Arial" w:hAnsi="Arial" w:cs="Arial"/>
                <w:b/>
                <w:sz w:val="20"/>
                <w:szCs w:val="20"/>
              </w:rPr>
            </w:pPr>
          </w:p>
          <w:p w:rsidR="003E1079" w:rsidRPr="00557E8B" w:rsidRDefault="003E1079" w:rsidP="00E60686">
            <w:pPr>
              <w:pStyle w:val="NormalWeb"/>
              <w:spacing w:before="0" w:beforeAutospacing="0" w:after="0" w:afterAutospacing="0"/>
              <w:ind w:hanging="10"/>
              <w:rPr>
                <w:rFonts w:ascii="Arial" w:hAnsi="Arial" w:cs="Arial"/>
                <w:sz w:val="20"/>
                <w:szCs w:val="20"/>
              </w:rPr>
            </w:pPr>
            <w:r w:rsidRPr="00557E8B">
              <w:rPr>
                <w:rFonts w:ascii="Arial" w:hAnsi="Arial" w:cs="Arial"/>
                <w:bCs/>
                <w:iCs/>
                <w:color w:val="FF0000"/>
                <w:sz w:val="20"/>
                <w:szCs w:val="20"/>
              </w:rPr>
              <w:t xml:space="preserve">READ/N </w:t>
            </w:r>
            <w:r w:rsidRPr="00557E8B">
              <w:rPr>
                <w:rFonts w:ascii="Arial" w:hAnsi="Arial" w:cs="Arial"/>
                <w:bCs/>
                <w:iCs/>
                <w:color w:val="000000"/>
                <w:sz w:val="20"/>
                <w:szCs w:val="20"/>
              </w:rPr>
              <w:t xml:space="preserve">- Master’s in education with a specialization in reading or teaching reading </w:t>
            </w:r>
          </w:p>
          <w:p w:rsidR="003E1079" w:rsidRPr="00557E8B" w:rsidRDefault="003E1079" w:rsidP="00E60686">
            <w:pPr>
              <w:pStyle w:val="NormalWeb"/>
              <w:spacing w:before="0" w:beforeAutospacing="0" w:after="0" w:afterAutospacing="0"/>
              <w:ind w:hanging="10"/>
              <w:rPr>
                <w:rFonts w:ascii="Arial" w:hAnsi="Arial" w:cs="Arial"/>
                <w:sz w:val="20"/>
                <w:szCs w:val="20"/>
              </w:rPr>
            </w:pPr>
            <w:r w:rsidRPr="00557E8B">
              <w:rPr>
                <w:rFonts w:ascii="Arial" w:hAnsi="Arial" w:cs="Arial"/>
                <w:bCs/>
                <w:iCs/>
                <w:color w:val="000000"/>
                <w:sz w:val="20"/>
                <w:szCs w:val="20"/>
              </w:rPr>
              <w:t xml:space="preserve">OR </w:t>
            </w:r>
          </w:p>
          <w:p w:rsidR="003E1079" w:rsidRPr="00557E8B" w:rsidRDefault="003E1079" w:rsidP="00E60686">
            <w:pPr>
              <w:rPr>
                <w:rFonts w:ascii="Arial" w:hAnsi="Arial" w:cs="Arial"/>
                <w:color w:val="FF0000"/>
                <w:sz w:val="20"/>
                <w:szCs w:val="20"/>
              </w:rPr>
            </w:pPr>
            <w:r w:rsidRPr="00557E8B">
              <w:rPr>
                <w:rFonts w:ascii="Arial" w:hAnsi="Arial" w:cs="Arial"/>
                <w:bCs/>
                <w:iCs/>
                <w:color w:val="000000"/>
                <w:sz w:val="20"/>
                <w:szCs w:val="20"/>
              </w:rPr>
              <w:t>Bachelor’s in any academic discipline AND Twelve semester units of course work</w:t>
            </w:r>
          </w:p>
          <w:p w:rsidR="003E1079" w:rsidRPr="00557E8B" w:rsidRDefault="003E1079" w:rsidP="00E60686">
            <w:pPr>
              <w:pStyle w:val="NormalWeb"/>
              <w:spacing w:before="0" w:beforeAutospacing="0" w:after="0" w:afterAutospacing="0"/>
              <w:ind w:hanging="10"/>
              <w:rPr>
                <w:rFonts w:ascii="Arial" w:hAnsi="Arial" w:cs="Arial"/>
                <w:sz w:val="20"/>
                <w:szCs w:val="20"/>
              </w:rPr>
            </w:pPr>
            <w:r w:rsidRPr="00557E8B">
              <w:rPr>
                <w:rFonts w:ascii="Arial" w:hAnsi="Arial" w:cs="Arial"/>
                <w:bCs/>
                <w:iCs/>
                <w:color w:val="000000"/>
                <w:sz w:val="20"/>
                <w:szCs w:val="20"/>
              </w:rPr>
              <w:t>in teaching reading AND Master’s in English, literature, linguistics, applied linguistics, composition, comparative literature, TESL or psychology OR the equivalent.</w:t>
            </w:r>
          </w:p>
        </w:tc>
      </w:tr>
      <w:tr w:rsidR="003E1079" w:rsidTr="00557E8B">
        <w:tc>
          <w:tcPr>
            <w:tcW w:w="1615" w:type="dxa"/>
          </w:tcPr>
          <w:p w:rsidR="003E1079" w:rsidRPr="00557E8B" w:rsidRDefault="003E1079" w:rsidP="000A0B95">
            <w:pPr>
              <w:rPr>
                <w:rFonts w:ascii="Arial" w:hAnsi="Arial" w:cs="Arial"/>
                <w:color w:val="000000"/>
                <w:sz w:val="20"/>
                <w:szCs w:val="20"/>
              </w:rPr>
            </w:pPr>
            <w:r w:rsidRPr="00557E8B">
              <w:rPr>
                <w:rFonts w:ascii="Arial" w:hAnsi="Arial" w:cs="Arial"/>
                <w:color w:val="000000"/>
                <w:sz w:val="20"/>
                <w:szCs w:val="20"/>
              </w:rPr>
              <w:lastRenderedPageBreak/>
              <w:t>Short-term Vocational Programs with High Employment Potential</w:t>
            </w:r>
          </w:p>
          <w:p w:rsidR="003E1079" w:rsidRPr="00557E8B" w:rsidRDefault="003E1079" w:rsidP="003E1079">
            <w:pPr>
              <w:rPr>
                <w:rFonts w:ascii="Arial" w:hAnsi="Arial" w:cs="Arial"/>
                <w:sz w:val="20"/>
                <w:szCs w:val="20"/>
              </w:rPr>
            </w:pPr>
          </w:p>
        </w:tc>
        <w:tc>
          <w:tcPr>
            <w:tcW w:w="1260" w:type="dxa"/>
          </w:tcPr>
          <w:p w:rsidR="003E1079" w:rsidRPr="00557E8B" w:rsidRDefault="003E1079" w:rsidP="000A0B95">
            <w:pPr>
              <w:rPr>
                <w:rFonts w:ascii="Arial" w:hAnsi="Arial" w:cs="Arial"/>
                <w:sz w:val="20"/>
                <w:szCs w:val="20"/>
              </w:rPr>
            </w:pPr>
            <w:r w:rsidRPr="00557E8B">
              <w:rPr>
                <w:rFonts w:ascii="Arial" w:hAnsi="Arial" w:cs="Arial"/>
                <w:sz w:val="20"/>
                <w:szCs w:val="20"/>
              </w:rPr>
              <w:t>Dean of CTE</w:t>
            </w:r>
          </w:p>
        </w:tc>
        <w:tc>
          <w:tcPr>
            <w:tcW w:w="1440" w:type="dxa"/>
          </w:tcPr>
          <w:p w:rsidR="003E1079" w:rsidRPr="00557E8B" w:rsidRDefault="003E1079" w:rsidP="000A0B95">
            <w:pPr>
              <w:rPr>
                <w:rFonts w:ascii="Arial" w:hAnsi="Arial" w:cs="Arial"/>
                <w:sz w:val="20"/>
                <w:szCs w:val="20"/>
              </w:rPr>
            </w:pPr>
            <w:r w:rsidRPr="00557E8B">
              <w:rPr>
                <w:rFonts w:ascii="Arial" w:hAnsi="Arial" w:cs="Arial"/>
                <w:sz w:val="20"/>
                <w:szCs w:val="20"/>
              </w:rPr>
              <w:t>BEIT Dept,</w:t>
            </w:r>
          </w:p>
          <w:p w:rsidR="003E1079" w:rsidRPr="00557E8B" w:rsidRDefault="003E1079" w:rsidP="000A0B95">
            <w:pPr>
              <w:rPr>
                <w:rFonts w:ascii="Arial" w:hAnsi="Arial" w:cs="Arial"/>
                <w:sz w:val="20"/>
                <w:szCs w:val="20"/>
              </w:rPr>
            </w:pPr>
            <w:r w:rsidRPr="00557E8B">
              <w:rPr>
                <w:rFonts w:ascii="Arial" w:hAnsi="Arial" w:cs="Arial"/>
                <w:sz w:val="20"/>
                <w:szCs w:val="20"/>
              </w:rPr>
              <w:t>Public Safety &amp; Services Dept</w:t>
            </w:r>
          </w:p>
        </w:tc>
        <w:tc>
          <w:tcPr>
            <w:tcW w:w="1440" w:type="dxa"/>
          </w:tcPr>
          <w:p w:rsidR="003E1079" w:rsidRPr="00557E8B" w:rsidRDefault="00231C6C" w:rsidP="003E1079">
            <w:pPr>
              <w:rPr>
                <w:rFonts w:ascii="Arial" w:hAnsi="Arial" w:cs="Arial"/>
                <w:sz w:val="20"/>
                <w:szCs w:val="20"/>
              </w:rPr>
            </w:pPr>
            <w:r>
              <w:rPr>
                <w:rFonts w:ascii="Arial" w:hAnsi="Arial" w:cs="Arial"/>
                <w:sz w:val="20"/>
                <w:szCs w:val="20"/>
              </w:rPr>
              <w:t>VOC/N-6xx</w:t>
            </w:r>
          </w:p>
        </w:tc>
        <w:tc>
          <w:tcPr>
            <w:tcW w:w="4410" w:type="dxa"/>
          </w:tcPr>
          <w:p w:rsidR="003E1079" w:rsidRPr="00557E8B" w:rsidRDefault="003E1079" w:rsidP="000A0B95">
            <w:pPr>
              <w:rPr>
                <w:rFonts w:ascii="Arial" w:hAnsi="Arial" w:cs="Arial"/>
                <w:sz w:val="20"/>
                <w:szCs w:val="20"/>
              </w:rPr>
            </w:pPr>
            <w:r w:rsidRPr="00557E8B">
              <w:rPr>
                <w:rFonts w:ascii="Arial" w:hAnsi="Arial" w:cs="Arial"/>
                <w:sz w:val="20"/>
                <w:szCs w:val="20"/>
              </w:rPr>
              <w:t>These programs, known as Career Technical Education (CTE), are organized in a sequence of courses leading to a vocational/career technical objective, certificate, or an award that is directly related to employment.</w:t>
            </w:r>
          </w:p>
        </w:tc>
        <w:tc>
          <w:tcPr>
            <w:tcW w:w="4225" w:type="dxa"/>
          </w:tcPr>
          <w:p w:rsidR="003E1079" w:rsidRPr="00557E8B" w:rsidRDefault="003E1079" w:rsidP="000A0B95">
            <w:pPr>
              <w:pStyle w:val="NormalWeb"/>
              <w:spacing w:before="0" w:beforeAutospacing="0" w:after="0" w:afterAutospacing="0"/>
              <w:ind w:hanging="10"/>
              <w:rPr>
                <w:rFonts w:ascii="Arial" w:hAnsi="Arial" w:cs="Arial"/>
                <w:sz w:val="20"/>
                <w:szCs w:val="20"/>
              </w:rPr>
            </w:pPr>
            <w:r w:rsidRPr="00557E8B">
              <w:rPr>
                <w:rFonts w:ascii="Arial" w:hAnsi="Arial" w:cs="Arial"/>
                <w:color w:val="000000"/>
                <w:sz w:val="20"/>
                <w:szCs w:val="20"/>
              </w:rPr>
              <w:t xml:space="preserve">Bachelor’s degree; and two years of occupational experience related to the subject of the course taught </w:t>
            </w:r>
            <w:r w:rsidRPr="00557E8B">
              <w:rPr>
                <w:rFonts w:ascii="Arial" w:hAnsi="Arial" w:cs="Arial"/>
                <w:b/>
                <w:bCs/>
                <w:color w:val="000000"/>
                <w:sz w:val="20"/>
                <w:szCs w:val="20"/>
              </w:rPr>
              <w:t>OR</w:t>
            </w:r>
          </w:p>
          <w:p w:rsidR="003E1079" w:rsidRPr="00557E8B" w:rsidRDefault="003E1079" w:rsidP="000A0B95">
            <w:pPr>
              <w:pStyle w:val="NormalWeb"/>
              <w:spacing w:before="0" w:beforeAutospacing="0" w:after="0" w:afterAutospacing="0"/>
              <w:ind w:hanging="10"/>
              <w:rPr>
                <w:rFonts w:ascii="Arial" w:hAnsi="Arial" w:cs="Arial"/>
                <w:sz w:val="20"/>
                <w:szCs w:val="20"/>
              </w:rPr>
            </w:pPr>
            <w:r w:rsidRPr="00557E8B">
              <w:rPr>
                <w:rFonts w:ascii="Arial" w:hAnsi="Arial" w:cs="Arial"/>
                <w:color w:val="000000"/>
                <w:sz w:val="20"/>
                <w:szCs w:val="20"/>
              </w:rPr>
              <w:t xml:space="preserve">Associate degree; and six years of occupational experience related to the subject of the course taught </w:t>
            </w:r>
            <w:r w:rsidRPr="00557E8B">
              <w:rPr>
                <w:rFonts w:ascii="Arial" w:hAnsi="Arial" w:cs="Arial"/>
                <w:b/>
                <w:bCs/>
                <w:color w:val="000000"/>
                <w:sz w:val="20"/>
                <w:szCs w:val="20"/>
              </w:rPr>
              <w:t>OR</w:t>
            </w:r>
          </w:p>
          <w:p w:rsidR="003E1079" w:rsidRPr="00557E8B" w:rsidRDefault="003E1079" w:rsidP="000A0B95">
            <w:pPr>
              <w:pStyle w:val="NormalWeb"/>
              <w:spacing w:before="0" w:beforeAutospacing="0" w:after="0" w:afterAutospacing="0"/>
              <w:ind w:hanging="10"/>
              <w:rPr>
                <w:rFonts w:ascii="Arial" w:hAnsi="Arial" w:cs="Arial"/>
                <w:sz w:val="20"/>
                <w:szCs w:val="20"/>
              </w:rPr>
            </w:pPr>
            <w:r w:rsidRPr="00557E8B">
              <w:rPr>
                <w:rFonts w:ascii="Arial" w:hAnsi="Arial" w:cs="Arial"/>
                <w:color w:val="000000"/>
                <w:sz w:val="20"/>
                <w:szCs w:val="20"/>
              </w:rPr>
              <w:t xml:space="preserve">Possession of a full-time, clear California Designated Subjects Adult Education Teaching Credential authorizing instruction in the subject matter </w:t>
            </w:r>
            <w:r w:rsidRPr="00557E8B">
              <w:rPr>
                <w:rFonts w:ascii="Arial" w:hAnsi="Arial" w:cs="Arial"/>
                <w:b/>
                <w:bCs/>
                <w:color w:val="000000"/>
                <w:sz w:val="20"/>
                <w:szCs w:val="20"/>
              </w:rPr>
              <w:t>OR</w:t>
            </w:r>
          </w:p>
          <w:p w:rsidR="003E1079" w:rsidRPr="00557E8B" w:rsidRDefault="003E1079" w:rsidP="000A0B95">
            <w:pPr>
              <w:pStyle w:val="NormalWeb"/>
              <w:spacing w:before="0" w:beforeAutospacing="0" w:after="0" w:afterAutospacing="0"/>
              <w:ind w:hanging="10"/>
              <w:rPr>
                <w:rFonts w:ascii="Arial" w:hAnsi="Arial" w:cs="Arial"/>
                <w:color w:val="000000"/>
                <w:sz w:val="20"/>
                <w:szCs w:val="20"/>
              </w:rPr>
            </w:pPr>
            <w:r w:rsidRPr="00557E8B">
              <w:rPr>
                <w:rFonts w:ascii="Arial" w:hAnsi="Arial" w:cs="Arial"/>
                <w:color w:val="000000"/>
                <w:sz w:val="20"/>
                <w:szCs w:val="20"/>
              </w:rPr>
              <w:t>For courses in an occupation for which the district offers or has offered apprenticeship instruction, the minimum qualifications for noncredit apprenticeship instructors in that occupation, as specified in title 5 section 53413.</w:t>
            </w:r>
          </w:p>
        </w:tc>
      </w:tr>
      <w:tr w:rsidR="003E1079" w:rsidTr="00557E8B">
        <w:tc>
          <w:tcPr>
            <w:tcW w:w="1615" w:type="dxa"/>
          </w:tcPr>
          <w:p w:rsidR="003E1079" w:rsidRPr="00557E8B" w:rsidRDefault="003E1079" w:rsidP="000A0B95">
            <w:pPr>
              <w:rPr>
                <w:rFonts w:ascii="Arial" w:hAnsi="Arial" w:cs="Arial"/>
                <w:color w:val="000000"/>
                <w:sz w:val="20"/>
                <w:szCs w:val="20"/>
              </w:rPr>
            </w:pPr>
            <w:r w:rsidRPr="00557E8B">
              <w:rPr>
                <w:rFonts w:ascii="Arial" w:hAnsi="Arial" w:cs="Arial"/>
                <w:color w:val="000000"/>
                <w:sz w:val="20"/>
                <w:szCs w:val="20"/>
              </w:rPr>
              <w:t>Workforce Preparation</w:t>
            </w:r>
          </w:p>
          <w:p w:rsidR="003E1079" w:rsidRPr="00557E8B" w:rsidRDefault="003E1079" w:rsidP="000A0B95">
            <w:pPr>
              <w:rPr>
                <w:rFonts w:ascii="Arial" w:hAnsi="Arial" w:cs="Arial"/>
                <w:b/>
                <w:color w:val="000000"/>
                <w:sz w:val="20"/>
                <w:szCs w:val="20"/>
              </w:rPr>
            </w:pPr>
          </w:p>
        </w:tc>
        <w:tc>
          <w:tcPr>
            <w:tcW w:w="1260" w:type="dxa"/>
          </w:tcPr>
          <w:p w:rsidR="003E1079" w:rsidRPr="00557E8B" w:rsidRDefault="003E1079" w:rsidP="000A0B95">
            <w:pPr>
              <w:rPr>
                <w:rFonts w:ascii="Arial" w:hAnsi="Arial" w:cs="Arial"/>
                <w:sz w:val="20"/>
                <w:szCs w:val="20"/>
              </w:rPr>
            </w:pPr>
            <w:r w:rsidRPr="00557E8B">
              <w:rPr>
                <w:rFonts w:ascii="Arial" w:hAnsi="Arial" w:cs="Arial"/>
                <w:sz w:val="20"/>
                <w:szCs w:val="20"/>
              </w:rPr>
              <w:t>Dean of CTE</w:t>
            </w:r>
          </w:p>
        </w:tc>
        <w:tc>
          <w:tcPr>
            <w:tcW w:w="1440" w:type="dxa"/>
          </w:tcPr>
          <w:p w:rsidR="003E1079" w:rsidRPr="00557E8B" w:rsidRDefault="003E1079" w:rsidP="000A0B95">
            <w:pPr>
              <w:rPr>
                <w:rFonts w:ascii="Arial" w:hAnsi="Arial" w:cs="Arial"/>
                <w:sz w:val="20"/>
                <w:szCs w:val="20"/>
              </w:rPr>
            </w:pPr>
            <w:r w:rsidRPr="00557E8B">
              <w:rPr>
                <w:rFonts w:ascii="Arial" w:hAnsi="Arial" w:cs="Arial"/>
                <w:sz w:val="20"/>
                <w:szCs w:val="20"/>
              </w:rPr>
              <w:t xml:space="preserve">BEIT Dept </w:t>
            </w:r>
          </w:p>
        </w:tc>
        <w:tc>
          <w:tcPr>
            <w:tcW w:w="1440" w:type="dxa"/>
          </w:tcPr>
          <w:p w:rsidR="003E1079" w:rsidRPr="00557E8B" w:rsidRDefault="003E1079" w:rsidP="000A0B95">
            <w:pPr>
              <w:rPr>
                <w:rFonts w:ascii="Arial" w:hAnsi="Arial" w:cs="Arial"/>
                <w:sz w:val="20"/>
                <w:szCs w:val="20"/>
              </w:rPr>
            </w:pPr>
            <w:r w:rsidRPr="00557E8B">
              <w:rPr>
                <w:rFonts w:ascii="Arial" w:hAnsi="Arial" w:cs="Arial"/>
                <w:sz w:val="20"/>
                <w:szCs w:val="20"/>
              </w:rPr>
              <w:t>WFP/N-6xx</w:t>
            </w:r>
          </w:p>
        </w:tc>
        <w:tc>
          <w:tcPr>
            <w:tcW w:w="4410" w:type="dxa"/>
          </w:tcPr>
          <w:p w:rsidR="003E1079" w:rsidRPr="00557E8B" w:rsidRDefault="003E1079" w:rsidP="000A0B95">
            <w:pPr>
              <w:rPr>
                <w:rFonts w:ascii="Arial" w:hAnsi="Arial" w:cs="Arial"/>
                <w:sz w:val="20"/>
                <w:szCs w:val="20"/>
              </w:rPr>
            </w:pPr>
            <w:r w:rsidRPr="00557E8B">
              <w:rPr>
                <w:rFonts w:ascii="Arial" w:hAnsi="Arial" w:cs="Arial"/>
                <w:sz w:val="20"/>
                <w:szCs w:val="20"/>
              </w:rPr>
              <w:t>These classes are designed to provide basic employability skills and are for students eligible for educational services pertaining to basic skills. In addition to basic skills, workforce preparation introduces students to skills such as valuing diversity at work, accessing and navigating informational technology and applying interpersonal skills necessary for team work.</w:t>
            </w:r>
          </w:p>
        </w:tc>
        <w:tc>
          <w:tcPr>
            <w:tcW w:w="4225" w:type="dxa"/>
          </w:tcPr>
          <w:p w:rsidR="003E1079" w:rsidRPr="00557E8B" w:rsidRDefault="003E1079" w:rsidP="000A0B95">
            <w:pPr>
              <w:ind w:hanging="10"/>
              <w:rPr>
                <w:rFonts w:ascii="Arial" w:eastAsia="Times New Roman" w:hAnsi="Arial" w:cs="Arial"/>
                <w:sz w:val="20"/>
                <w:szCs w:val="20"/>
              </w:rPr>
            </w:pPr>
            <w:r w:rsidRPr="00557E8B">
              <w:rPr>
                <w:rFonts w:ascii="Arial" w:eastAsia="Times New Roman" w:hAnsi="Arial" w:cs="Arial"/>
                <w:color w:val="000000"/>
                <w:sz w:val="20"/>
                <w:szCs w:val="20"/>
              </w:rPr>
              <w:t xml:space="preserve">Bachelor’s degree; and two years of occupational experience related to the subject of the course taught </w:t>
            </w:r>
            <w:r w:rsidRPr="00557E8B">
              <w:rPr>
                <w:rFonts w:ascii="Arial" w:eastAsia="Times New Roman" w:hAnsi="Arial" w:cs="Arial"/>
                <w:b/>
                <w:bCs/>
                <w:color w:val="000000"/>
                <w:sz w:val="20"/>
                <w:szCs w:val="20"/>
              </w:rPr>
              <w:t>OR</w:t>
            </w:r>
          </w:p>
          <w:p w:rsidR="003E1079" w:rsidRPr="00557E8B" w:rsidRDefault="003E1079" w:rsidP="000A0B95">
            <w:pPr>
              <w:ind w:hanging="10"/>
              <w:rPr>
                <w:rFonts w:ascii="Arial" w:eastAsia="Times New Roman" w:hAnsi="Arial" w:cs="Arial"/>
                <w:sz w:val="20"/>
                <w:szCs w:val="20"/>
              </w:rPr>
            </w:pPr>
            <w:r w:rsidRPr="00557E8B">
              <w:rPr>
                <w:rFonts w:ascii="Arial" w:eastAsia="Times New Roman" w:hAnsi="Arial" w:cs="Arial"/>
                <w:color w:val="000000"/>
                <w:sz w:val="20"/>
                <w:szCs w:val="20"/>
              </w:rPr>
              <w:t xml:space="preserve">Associate degree; and six years of occupational experience related to the subject of the course taught </w:t>
            </w:r>
            <w:r w:rsidRPr="00557E8B">
              <w:rPr>
                <w:rFonts w:ascii="Arial" w:eastAsia="Times New Roman" w:hAnsi="Arial" w:cs="Arial"/>
                <w:b/>
                <w:bCs/>
                <w:color w:val="000000"/>
                <w:sz w:val="20"/>
                <w:szCs w:val="20"/>
              </w:rPr>
              <w:t>OR</w:t>
            </w:r>
          </w:p>
          <w:p w:rsidR="003E1079" w:rsidRPr="00557E8B" w:rsidRDefault="003E1079" w:rsidP="000A0B95">
            <w:pPr>
              <w:pStyle w:val="NormalWeb"/>
              <w:spacing w:before="0" w:beforeAutospacing="0" w:after="0" w:afterAutospacing="0"/>
              <w:ind w:hanging="10"/>
              <w:rPr>
                <w:rFonts w:ascii="Arial" w:hAnsi="Arial" w:cs="Arial"/>
                <w:color w:val="000000"/>
                <w:sz w:val="20"/>
                <w:szCs w:val="20"/>
              </w:rPr>
            </w:pPr>
            <w:r w:rsidRPr="00557E8B">
              <w:rPr>
                <w:rFonts w:ascii="Arial" w:hAnsi="Arial" w:cs="Arial"/>
                <w:color w:val="000000"/>
                <w:sz w:val="20"/>
                <w:szCs w:val="20"/>
              </w:rPr>
              <w:t xml:space="preserve">Possession of a full-time, clear California Designated Subjects Adult Education Teaching Credential authorizing instruction in the subject matter </w:t>
            </w:r>
            <w:r w:rsidRPr="00557E8B">
              <w:rPr>
                <w:rFonts w:ascii="Arial" w:hAnsi="Arial" w:cs="Arial"/>
                <w:b/>
                <w:bCs/>
                <w:color w:val="000000"/>
                <w:sz w:val="20"/>
                <w:szCs w:val="20"/>
              </w:rPr>
              <w:t xml:space="preserve">OR </w:t>
            </w:r>
            <w:r w:rsidRPr="00557E8B">
              <w:rPr>
                <w:rFonts w:ascii="Arial" w:hAnsi="Arial" w:cs="Arial"/>
                <w:color w:val="000000"/>
                <w:sz w:val="20"/>
                <w:szCs w:val="20"/>
              </w:rPr>
              <w:t>For courses in an occupation for which the district offers or has offered apprenticeship instruction, the minimum qualifications for noncredit apprenticeship instructors in that occupation, as specified in title 5 section 53413.</w:t>
            </w:r>
          </w:p>
        </w:tc>
      </w:tr>
      <w:tr w:rsidR="003E1079" w:rsidTr="00557E8B">
        <w:tc>
          <w:tcPr>
            <w:tcW w:w="1615" w:type="dxa"/>
          </w:tcPr>
          <w:p w:rsidR="003E1079" w:rsidRPr="00F33B3D" w:rsidRDefault="003E1079" w:rsidP="00E57350">
            <w:pPr>
              <w:rPr>
                <w:rFonts w:ascii="Arial" w:hAnsi="Arial" w:cs="Arial"/>
                <w:color w:val="000000"/>
                <w:sz w:val="20"/>
                <w:szCs w:val="20"/>
              </w:rPr>
            </w:pPr>
            <w:r w:rsidRPr="00F33B3D">
              <w:rPr>
                <w:rFonts w:ascii="Arial" w:hAnsi="Arial" w:cs="Arial"/>
                <w:color w:val="000000"/>
                <w:sz w:val="20"/>
                <w:szCs w:val="20"/>
              </w:rPr>
              <w:t>English as A Second Language</w:t>
            </w:r>
          </w:p>
          <w:p w:rsidR="003E1079" w:rsidRPr="00557E8B" w:rsidRDefault="003E1079" w:rsidP="00E57350">
            <w:pPr>
              <w:rPr>
                <w:rFonts w:ascii="Arial" w:hAnsi="Arial" w:cs="Arial"/>
                <w:sz w:val="20"/>
                <w:szCs w:val="20"/>
              </w:rPr>
            </w:pPr>
          </w:p>
        </w:tc>
        <w:tc>
          <w:tcPr>
            <w:tcW w:w="1260" w:type="dxa"/>
          </w:tcPr>
          <w:p w:rsidR="003E1079" w:rsidRPr="00557E8B" w:rsidRDefault="003E1079" w:rsidP="00E57350">
            <w:pPr>
              <w:rPr>
                <w:rFonts w:ascii="Arial" w:hAnsi="Arial" w:cs="Arial"/>
                <w:sz w:val="20"/>
                <w:szCs w:val="20"/>
              </w:rPr>
            </w:pPr>
            <w:r w:rsidRPr="00557E8B">
              <w:rPr>
                <w:rFonts w:ascii="Arial" w:hAnsi="Arial" w:cs="Arial"/>
                <w:sz w:val="20"/>
                <w:szCs w:val="20"/>
              </w:rPr>
              <w:t>Dean of LAMS</w:t>
            </w:r>
          </w:p>
        </w:tc>
        <w:tc>
          <w:tcPr>
            <w:tcW w:w="1440" w:type="dxa"/>
          </w:tcPr>
          <w:p w:rsidR="003E1079" w:rsidRPr="00557E8B" w:rsidRDefault="003E1079" w:rsidP="00E57350">
            <w:pPr>
              <w:rPr>
                <w:rFonts w:ascii="Arial" w:hAnsi="Arial" w:cs="Arial"/>
                <w:b/>
                <w:sz w:val="20"/>
                <w:szCs w:val="20"/>
              </w:rPr>
            </w:pPr>
            <w:r w:rsidRPr="00557E8B">
              <w:rPr>
                <w:rFonts w:ascii="Arial" w:hAnsi="Arial" w:cs="Arial"/>
                <w:sz w:val="20"/>
                <w:szCs w:val="20"/>
              </w:rPr>
              <w:t>English Dept</w:t>
            </w:r>
          </w:p>
        </w:tc>
        <w:tc>
          <w:tcPr>
            <w:tcW w:w="1440" w:type="dxa"/>
          </w:tcPr>
          <w:p w:rsidR="003E1079" w:rsidRPr="00557E8B" w:rsidRDefault="003E1079" w:rsidP="00E57350">
            <w:pPr>
              <w:rPr>
                <w:rFonts w:ascii="Arial" w:hAnsi="Arial" w:cs="Arial"/>
                <w:sz w:val="20"/>
                <w:szCs w:val="20"/>
              </w:rPr>
            </w:pPr>
            <w:r w:rsidRPr="00557E8B">
              <w:rPr>
                <w:rFonts w:ascii="Arial" w:hAnsi="Arial" w:cs="Arial"/>
                <w:sz w:val="20"/>
                <w:szCs w:val="20"/>
              </w:rPr>
              <w:t>ESL/N-6xx</w:t>
            </w:r>
          </w:p>
        </w:tc>
        <w:tc>
          <w:tcPr>
            <w:tcW w:w="4410" w:type="dxa"/>
          </w:tcPr>
          <w:p w:rsidR="003E1079" w:rsidRPr="00557E8B" w:rsidRDefault="003E1079" w:rsidP="00E57350">
            <w:pPr>
              <w:rPr>
                <w:rFonts w:ascii="Arial" w:hAnsi="Arial" w:cs="Arial"/>
                <w:sz w:val="20"/>
                <w:szCs w:val="20"/>
              </w:rPr>
            </w:pPr>
            <w:r w:rsidRPr="00557E8B">
              <w:rPr>
                <w:rFonts w:ascii="Arial" w:hAnsi="Arial" w:cs="Arial"/>
                <w:sz w:val="20"/>
                <w:szCs w:val="20"/>
              </w:rPr>
              <w:t>This curriculum is designed to provide instruction in the English language to adult, non-native English speakers with varied academic, vocational and personal goals. ESL provides instruction primarily in, but not limited to, the areas of listening, speaking, reading and writing, and may integrate other areas such as computer literacy and cultural competency</w:t>
            </w:r>
          </w:p>
        </w:tc>
        <w:tc>
          <w:tcPr>
            <w:tcW w:w="4225" w:type="dxa"/>
          </w:tcPr>
          <w:p w:rsidR="003E1079" w:rsidRPr="00557E8B" w:rsidRDefault="003E1079" w:rsidP="00E57350">
            <w:pPr>
              <w:rPr>
                <w:rFonts w:ascii="Arial" w:hAnsi="Arial" w:cs="Arial"/>
                <w:sz w:val="20"/>
                <w:szCs w:val="20"/>
              </w:rPr>
            </w:pPr>
            <w:r w:rsidRPr="00557E8B">
              <w:rPr>
                <w:rFonts w:ascii="Arial" w:hAnsi="Arial" w:cs="Arial"/>
                <w:sz w:val="20"/>
                <w:szCs w:val="20"/>
              </w:rPr>
              <w:t>Master’s in TESL, TESOL, applied linguistics with a TESL emphasis, linguistics with a TESL emphasis, English with a TESL emphasis or education with a TESL emphasis OR</w:t>
            </w:r>
          </w:p>
          <w:p w:rsidR="003E1079" w:rsidRPr="00557E8B" w:rsidRDefault="003E1079" w:rsidP="00E57350">
            <w:pPr>
              <w:rPr>
                <w:rFonts w:ascii="Arial" w:hAnsi="Arial" w:cs="Arial"/>
                <w:sz w:val="20"/>
                <w:szCs w:val="20"/>
              </w:rPr>
            </w:pPr>
            <w:r w:rsidRPr="00557E8B">
              <w:rPr>
                <w:rFonts w:ascii="Arial" w:hAnsi="Arial" w:cs="Arial"/>
                <w:sz w:val="20"/>
                <w:szCs w:val="20"/>
              </w:rPr>
              <w:t xml:space="preserve">Bachelor’s in TESL, TESOL, English with a TESL certificate, linguistics with a TESL certificate, applied linguistics with a TESL certificate, or any foreign language with a TESL certificate AND master’s in linguistics, applied linguistics, English, composition, bilingual/bicultural studies, reading, speech or any foreign language </w:t>
            </w:r>
          </w:p>
          <w:p w:rsidR="00557E8B" w:rsidRPr="00557E8B" w:rsidRDefault="003E1079" w:rsidP="00E57350">
            <w:pPr>
              <w:rPr>
                <w:rFonts w:ascii="Arial" w:hAnsi="Arial" w:cs="Arial"/>
                <w:sz w:val="20"/>
                <w:szCs w:val="20"/>
              </w:rPr>
            </w:pPr>
            <w:r w:rsidRPr="00557E8B">
              <w:rPr>
                <w:rFonts w:ascii="Arial" w:hAnsi="Arial" w:cs="Arial"/>
                <w:sz w:val="20"/>
                <w:szCs w:val="20"/>
              </w:rPr>
              <w:t>OR the equivalent.</w:t>
            </w:r>
          </w:p>
          <w:p w:rsidR="00557E8B" w:rsidRPr="00557E8B" w:rsidRDefault="00557E8B" w:rsidP="00E57350">
            <w:pPr>
              <w:rPr>
                <w:rFonts w:ascii="Arial" w:hAnsi="Arial" w:cs="Arial"/>
                <w:sz w:val="20"/>
                <w:szCs w:val="20"/>
              </w:rPr>
            </w:pPr>
          </w:p>
        </w:tc>
      </w:tr>
      <w:tr w:rsidR="00557E8B" w:rsidTr="00482B7C">
        <w:tc>
          <w:tcPr>
            <w:tcW w:w="14390" w:type="dxa"/>
            <w:gridSpan w:val="6"/>
            <w:shd w:val="clear" w:color="auto" w:fill="000000" w:themeFill="text1"/>
          </w:tcPr>
          <w:p w:rsidR="00557E8B" w:rsidRPr="00557E8B" w:rsidRDefault="00557E8B" w:rsidP="00557E8B">
            <w:pPr>
              <w:pStyle w:val="NormalWeb"/>
              <w:spacing w:before="0" w:beforeAutospacing="0" w:after="0" w:afterAutospacing="0"/>
              <w:ind w:hanging="10"/>
              <w:jc w:val="both"/>
              <w:rPr>
                <w:rFonts w:ascii="Arial" w:hAnsi="Arial" w:cs="Arial"/>
                <w:color w:val="000000"/>
                <w:sz w:val="20"/>
                <w:szCs w:val="20"/>
              </w:rPr>
            </w:pPr>
            <w:r w:rsidRPr="00557E8B">
              <w:rPr>
                <w:rFonts w:ascii="Arial" w:hAnsi="Arial" w:cs="Arial"/>
                <w:sz w:val="20"/>
                <w:szCs w:val="20"/>
              </w:rPr>
              <w:lastRenderedPageBreak/>
              <w:t>Regularly Funded Noncredit Areas (Disciplines)</w:t>
            </w:r>
          </w:p>
        </w:tc>
      </w:tr>
      <w:tr w:rsidR="003E1079" w:rsidTr="00557E8B">
        <w:tc>
          <w:tcPr>
            <w:tcW w:w="1615" w:type="dxa"/>
          </w:tcPr>
          <w:p w:rsidR="003E1079" w:rsidRPr="00557E8B" w:rsidRDefault="003E1079" w:rsidP="00E57350">
            <w:pPr>
              <w:rPr>
                <w:rFonts w:ascii="Arial" w:hAnsi="Arial" w:cs="Arial"/>
                <w:color w:val="000000"/>
                <w:sz w:val="20"/>
                <w:szCs w:val="20"/>
              </w:rPr>
            </w:pPr>
            <w:r w:rsidRPr="00557E8B">
              <w:rPr>
                <w:rFonts w:ascii="Arial" w:hAnsi="Arial" w:cs="Arial"/>
                <w:color w:val="000000"/>
                <w:sz w:val="20"/>
                <w:szCs w:val="20"/>
              </w:rPr>
              <w:t>Education Programs for Older Adults</w:t>
            </w:r>
          </w:p>
          <w:p w:rsidR="003E1079" w:rsidRPr="00557E8B" w:rsidRDefault="003E1079" w:rsidP="00E57350">
            <w:pPr>
              <w:rPr>
                <w:rFonts w:ascii="Arial" w:hAnsi="Arial" w:cs="Arial"/>
                <w:sz w:val="20"/>
                <w:szCs w:val="20"/>
              </w:rPr>
            </w:pPr>
          </w:p>
        </w:tc>
        <w:tc>
          <w:tcPr>
            <w:tcW w:w="1260" w:type="dxa"/>
          </w:tcPr>
          <w:p w:rsidR="003E1079" w:rsidRPr="00557E8B" w:rsidRDefault="003E1079" w:rsidP="00E57350">
            <w:pPr>
              <w:rPr>
                <w:rFonts w:ascii="Arial" w:hAnsi="Arial" w:cs="Arial"/>
                <w:sz w:val="20"/>
                <w:szCs w:val="20"/>
              </w:rPr>
            </w:pPr>
            <w:r w:rsidRPr="00557E8B">
              <w:rPr>
                <w:rFonts w:ascii="Arial" w:hAnsi="Arial" w:cs="Arial"/>
                <w:sz w:val="20"/>
                <w:szCs w:val="20"/>
              </w:rPr>
              <w:t>Dean of SINS</w:t>
            </w:r>
          </w:p>
        </w:tc>
        <w:tc>
          <w:tcPr>
            <w:tcW w:w="1440" w:type="dxa"/>
          </w:tcPr>
          <w:p w:rsidR="003E1079" w:rsidRPr="00557E8B" w:rsidRDefault="003E1079" w:rsidP="00E57350">
            <w:pPr>
              <w:rPr>
                <w:rFonts w:ascii="Arial" w:hAnsi="Arial" w:cs="Arial"/>
                <w:sz w:val="20"/>
                <w:szCs w:val="20"/>
              </w:rPr>
            </w:pPr>
            <w:r w:rsidRPr="00557E8B">
              <w:rPr>
                <w:rFonts w:ascii="Arial" w:hAnsi="Arial" w:cs="Arial"/>
                <w:sz w:val="20"/>
                <w:szCs w:val="20"/>
              </w:rPr>
              <w:t>Social Sciences Dept</w:t>
            </w:r>
          </w:p>
          <w:p w:rsidR="003E1079" w:rsidRPr="00557E8B" w:rsidRDefault="003E1079" w:rsidP="00E57350">
            <w:pPr>
              <w:rPr>
                <w:rFonts w:ascii="Arial" w:hAnsi="Arial" w:cs="Arial"/>
                <w:sz w:val="20"/>
                <w:szCs w:val="20"/>
              </w:rPr>
            </w:pPr>
          </w:p>
          <w:p w:rsidR="003E1079" w:rsidRPr="00557E8B" w:rsidRDefault="003E1079" w:rsidP="00E57350">
            <w:pPr>
              <w:rPr>
                <w:rFonts w:ascii="Arial" w:hAnsi="Arial" w:cs="Arial"/>
                <w:sz w:val="20"/>
                <w:szCs w:val="20"/>
              </w:rPr>
            </w:pPr>
            <w:r w:rsidRPr="00557E8B">
              <w:rPr>
                <w:rFonts w:ascii="Arial" w:hAnsi="Arial" w:cs="Arial"/>
                <w:sz w:val="20"/>
                <w:szCs w:val="20"/>
              </w:rPr>
              <w:t>Human Development Dept</w:t>
            </w:r>
          </w:p>
        </w:tc>
        <w:tc>
          <w:tcPr>
            <w:tcW w:w="1440" w:type="dxa"/>
          </w:tcPr>
          <w:p w:rsidR="003E1079" w:rsidRPr="00557E8B" w:rsidRDefault="003E1079" w:rsidP="00E57350">
            <w:pPr>
              <w:rPr>
                <w:rFonts w:ascii="Arial" w:hAnsi="Arial" w:cs="Arial"/>
                <w:sz w:val="20"/>
                <w:szCs w:val="20"/>
              </w:rPr>
            </w:pPr>
            <w:r w:rsidRPr="00557E8B">
              <w:rPr>
                <w:rFonts w:ascii="Arial" w:hAnsi="Arial" w:cs="Arial"/>
                <w:sz w:val="20"/>
                <w:szCs w:val="20"/>
              </w:rPr>
              <w:t>COA/N-6xx</w:t>
            </w:r>
          </w:p>
        </w:tc>
        <w:tc>
          <w:tcPr>
            <w:tcW w:w="4410" w:type="dxa"/>
          </w:tcPr>
          <w:p w:rsidR="003E1079" w:rsidRPr="00557E8B" w:rsidRDefault="003E1079" w:rsidP="00E57350">
            <w:pPr>
              <w:rPr>
                <w:rFonts w:ascii="Arial" w:hAnsi="Arial" w:cs="Arial"/>
                <w:sz w:val="20"/>
                <w:szCs w:val="20"/>
              </w:rPr>
            </w:pPr>
            <w:r w:rsidRPr="00557E8B">
              <w:rPr>
                <w:rFonts w:ascii="Arial" w:hAnsi="Arial" w:cs="Arial"/>
                <w:sz w:val="20"/>
                <w:szCs w:val="20"/>
              </w:rPr>
              <w:t>This curriculum is designed to offer lifelong education that provides opportunities for personal learning that helps maintain and improve the quality of life outcomes, including improving the wellbeing and life expectancy of a growing aging population.</w:t>
            </w:r>
          </w:p>
        </w:tc>
        <w:tc>
          <w:tcPr>
            <w:tcW w:w="4225" w:type="dxa"/>
          </w:tcPr>
          <w:p w:rsidR="003E1079" w:rsidRPr="00557E8B" w:rsidRDefault="003E1079" w:rsidP="00E57350">
            <w:pPr>
              <w:pStyle w:val="NormalWeb"/>
              <w:spacing w:before="0" w:beforeAutospacing="0" w:after="0" w:afterAutospacing="0"/>
              <w:ind w:hanging="10"/>
              <w:rPr>
                <w:rFonts w:ascii="Arial" w:hAnsi="Arial" w:cs="Arial"/>
                <w:sz w:val="20"/>
                <w:szCs w:val="20"/>
              </w:rPr>
            </w:pPr>
            <w:r w:rsidRPr="00557E8B">
              <w:rPr>
                <w:rFonts w:ascii="Arial" w:hAnsi="Arial" w:cs="Arial"/>
                <w:color w:val="000000"/>
                <w:sz w:val="20"/>
                <w:szCs w:val="20"/>
              </w:rPr>
              <w:t>Bachelor’s degree with a major related to the subject of the course taught, and either:</w:t>
            </w:r>
          </w:p>
          <w:p w:rsidR="003E1079" w:rsidRPr="00557E8B" w:rsidRDefault="003E1079" w:rsidP="00E57350">
            <w:pPr>
              <w:pStyle w:val="NormalWeb"/>
              <w:spacing w:before="0" w:beforeAutospacing="0" w:after="0" w:afterAutospacing="0"/>
              <w:ind w:hanging="10"/>
              <w:rPr>
                <w:rFonts w:ascii="Arial" w:hAnsi="Arial" w:cs="Arial"/>
                <w:sz w:val="20"/>
                <w:szCs w:val="20"/>
              </w:rPr>
            </w:pPr>
            <w:r w:rsidRPr="00557E8B">
              <w:rPr>
                <w:rFonts w:ascii="Arial" w:hAnsi="Arial" w:cs="Arial"/>
                <w:color w:val="000000"/>
                <w:sz w:val="20"/>
                <w:szCs w:val="20"/>
              </w:rPr>
              <w:t xml:space="preserve">(A) Thirty hours or two semester units of coursework or class work in understanding the needs of the older adult taken at an accredited institution of higher education or approved by the district. This requirement may be completed concurrently during the first year of employment as a noncredit instructor; or (B) One year of professional experience working with older adults. </w:t>
            </w:r>
            <w:r w:rsidRPr="00557E8B">
              <w:rPr>
                <w:rFonts w:ascii="Arial" w:hAnsi="Arial" w:cs="Arial"/>
                <w:b/>
                <w:bCs/>
                <w:color w:val="000000"/>
                <w:sz w:val="20"/>
                <w:szCs w:val="20"/>
              </w:rPr>
              <w:t>OR</w:t>
            </w:r>
          </w:p>
          <w:p w:rsidR="003E1079" w:rsidRPr="00557E8B" w:rsidRDefault="003E1079" w:rsidP="00174E88">
            <w:pPr>
              <w:pStyle w:val="NormalWeb"/>
              <w:spacing w:before="0" w:beforeAutospacing="0" w:after="0" w:afterAutospacing="0"/>
              <w:ind w:hanging="10"/>
              <w:rPr>
                <w:rFonts w:ascii="Arial" w:hAnsi="Arial" w:cs="Arial"/>
                <w:sz w:val="20"/>
                <w:szCs w:val="20"/>
              </w:rPr>
            </w:pPr>
            <w:r w:rsidRPr="00557E8B">
              <w:rPr>
                <w:rFonts w:ascii="Arial" w:hAnsi="Arial" w:cs="Arial"/>
                <w:color w:val="000000"/>
                <w:sz w:val="20"/>
                <w:szCs w:val="20"/>
              </w:rPr>
              <w:t>Associate degree with a major related to the subject of the course taught; and two years of occupational experience related to the subject of the course taught; and sixty hours or four semester units of coursework or classwork in understanding the needs of the older adult, taken at an accredited institution of higher education or approved by the district. This last requirement may be completed concurrently during the first year of employment as a noncredit instructor.</w:t>
            </w:r>
          </w:p>
        </w:tc>
      </w:tr>
      <w:tr w:rsidR="003E1079" w:rsidTr="00557E8B">
        <w:trPr>
          <w:trHeight w:val="1925"/>
        </w:trPr>
        <w:tc>
          <w:tcPr>
            <w:tcW w:w="1615" w:type="dxa"/>
          </w:tcPr>
          <w:p w:rsidR="003E1079" w:rsidRPr="00557E8B" w:rsidRDefault="003E1079" w:rsidP="00E57350">
            <w:pPr>
              <w:rPr>
                <w:rFonts w:ascii="Arial" w:hAnsi="Arial" w:cs="Arial"/>
                <w:color w:val="000000"/>
                <w:sz w:val="20"/>
                <w:szCs w:val="20"/>
              </w:rPr>
            </w:pPr>
            <w:r w:rsidRPr="00557E8B">
              <w:rPr>
                <w:rFonts w:ascii="Arial" w:hAnsi="Arial" w:cs="Arial"/>
                <w:color w:val="000000"/>
                <w:sz w:val="20"/>
                <w:szCs w:val="20"/>
              </w:rPr>
              <w:t>Immigrant Education Courses</w:t>
            </w:r>
          </w:p>
          <w:p w:rsidR="003E1079" w:rsidRPr="00557E8B" w:rsidRDefault="003E1079" w:rsidP="00E57350">
            <w:pPr>
              <w:rPr>
                <w:rFonts w:ascii="Arial" w:hAnsi="Arial" w:cs="Arial"/>
                <w:sz w:val="20"/>
                <w:szCs w:val="20"/>
              </w:rPr>
            </w:pPr>
          </w:p>
        </w:tc>
        <w:tc>
          <w:tcPr>
            <w:tcW w:w="1260" w:type="dxa"/>
          </w:tcPr>
          <w:p w:rsidR="003E1079" w:rsidRPr="00557E8B" w:rsidRDefault="003E1079" w:rsidP="00E57350">
            <w:pPr>
              <w:rPr>
                <w:rFonts w:ascii="Arial" w:hAnsi="Arial" w:cs="Arial"/>
                <w:sz w:val="20"/>
                <w:szCs w:val="20"/>
              </w:rPr>
            </w:pPr>
            <w:r w:rsidRPr="00557E8B">
              <w:rPr>
                <w:rFonts w:ascii="Arial" w:hAnsi="Arial" w:cs="Arial"/>
                <w:sz w:val="20"/>
                <w:szCs w:val="20"/>
              </w:rPr>
              <w:t>Dean of SINS</w:t>
            </w:r>
          </w:p>
          <w:p w:rsidR="00557E8B" w:rsidRPr="00557E8B" w:rsidRDefault="00557E8B" w:rsidP="00E57350">
            <w:pPr>
              <w:rPr>
                <w:rFonts w:ascii="Arial" w:hAnsi="Arial" w:cs="Arial"/>
                <w:sz w:val="20"/>
                <w:szCs w:val="20"/>
              </w:rPr>
            </w:pPr>
          </w:p>
          <w:p w:rsidR="00557E8B" w:rsidRPr="00557E8B" w:rsidRDefault="00557E8B" w:rsidP="00E57350">
            <w:pPr>
              <w:rPr>
                <w:rFonts w:ascii="Arial" w:hAnsi="Arial" w:cs="Arial"/>
                <w:sz w:val="20"/>
                <w:szCs w:val="20"/>
              </w:rPr>
            </w:pPr>
            <w:r w:rsidRPr="00557E8B">
              <w:rPr>
                <w:rFonts w:ascii="Arial" w:hAnsi="Arial" w:cs="Arial"/>
                <w:sz w:val="20"/>
                <w:szCs w:val="20"/>
              </w:rPr>
              <w:t>Dean of CTE</w:t>
            </w:r>
          </w:p>
        </w:tc>
        <w:tc>
          <w:tcPr>
            <w:tcW w:w="1440" w:type="dxa"/>
          </w:tcPr>
          <w:p w:rsidR="003E1079" w:rsidRPr="00557E8B" w:rsidRDefault="003E1079" w:rsidP="00E57350">
            <w:pPr>
              <w:rPr>
                <w:rFonts w:ascii="Arial" w:hAnsi="Arial" w:cs="Arial"/>
                <w:sz w:val="20"/>
                <w:szCs w:val="20"/>
              </w:rPr>
            </w:pPr>
            <w:r w:rsidRPr="00557E8B">
              <w:rPr>
                <w:rFonts w:ascii="Arial" w:hAnsi="Arial" w:cs="Arial"/>
                <w:sz w:val="20"/>
                <w:szCs w:val="20"/>
              </w:rPr>
              <w:t>Social Sciences Dept</w:t>
            </w:r>
          </w:p>
          <w:p w:rsidR="003E1079" w:rsidRPr="00557E8B" w:rsidRDefault="003E1079" w:rsidP="00E57350">
            <w:pPr>
              <w:rPr>
                <w:rFonts w:ascii="Arial" w:hAnsi="Arial" w:cs="Arial"/>
                <w:sz w:val="20"/>
                <w:szCs w:val="20"/>
              </w:rPr>
            </w:pPr>
          </w:p>
          <w:p w:rsidR="003E1079" w:rsidRPr="00557E8B" w:rsidRDefault="003E1079" w:rsidP="00E57350">
            <w:pPr>
              <w:rPr>
                <w:rFonts w:ascii="Arial" w:hAnsi="Arial" w:cs="Arial"/>
                <w:sz w:val="20"/>
                <w:szCs w:val="20"/>
              </w:rPr>
            </w:pPr>
            <w:r w:rsidRPr="00557E8B">
              <w:rPr>
                <w:rFonts w:ascii="Arial" w:hAnsi="Arial" w:cs="Arial"/>
                <w:sz w:val="20"/>
                <w:szCs w:val="20"/>
              </w:rPr>
              <w:t>Human Development Dept</w:t>
            </w:r>
          </w:p>
        </w:tc>
        <w:tc>
          <w:tcPr>
            <w:tcW w:w="1440" w:type="dxa"/>
          </w:tcPr>
          <w:p w:rsidR="003E1079" w:rsidRPr="00557E8B" w:rsidRDefault="003E1079" w:rsidP="00E57350">
            <w:pPr>
              <w:rPr>
                <w:rFonts w:ascii="Arial" w:hAnsi="Arial" w:cs="Arial"/>
                <w:sz w:val="20"/>
                <w:szCs w:val="20"/>
              </w:rPr>
            </w:pPr>
            <w:r w:rsidRPr="00557E8B">
              <w:rPr>
                <w:rFonts w:ascii="Arial" w:hAnsi="Arial" w:cs="Arial"/>
                <w:sz w:val="20"/>
                <w:szCs w:val="20"/>
              </w:rPr>
              <w:t>IEC/N-6xx</w:t>
            </w:r>
          </w:p>
        </w:tc>
        <w:tc>
          <w:tcPr>
            <w:tcW w:w="4410" w:type="dxa"/>
          </w:tcPr>
          <w:p w:rsidR="003E1079" w:rsidRPr="00557E8B" w:rsidRDefault="003E1079" w:rsidP="00E57350">
            <w:pPr>
              <w:rPr>
                <w:rFonts w:ascii="Arial" w:hAnsi="Arial" w:cs="Arial"/>
                <w:sz w:val="20"/>
                <w:szCs w:val="20"/>
              </w:rPr>
            </w:pPr>
            <w:r w:rsidRPr="00557E8B">
              <w:rPr>
                <w:rFonts w:ascii="Arial" w:hAnsi="Arial" w:cs="Arial"/>
                <w:sz w:val="20"/>
                <w:szCs w:val="20"/>
              </w:rPr>
              <w:t>Courses for immigrants eligible for educational services include citizenship, ESL and workforce preparation. Classes include the basic skills of speaking, listening reading, writing, mathematics, decision making and problem solving. This curriculum is specifically designed to provide immigrants and their families with the opportunity to become active and participating members of economic and civic society and may include preparation for citizenship</w:t>
            </w:r>
          </w:p>
        </w:tc>
        <w:tc>
          <w:tcPr>
            <w:tcW w:w="4225" w:type="dxa"/>
          </w:tcPr>
          <w:p w:rsidR="003E1079" w:rsidRPr="00557E8B" w:rsidRDefault="003E1079" w:rsidP="00E57350">
            <w:pPr>
              <w:rPr>
                <w:rFonts w:ascii="Arial" w:hAnsi="Arial" w:cs="Arial"/>
                <w:sz w:val="20"/>
                <w:szCs w:val="20"/>
              </w:rPr>
            </w:pPr>
            <w:r w:rsidRPr="00557E8B">
              <w:rPr>
                <w:rFonts w:ascii="Arial" w:hAnsi="Arial" w:cs="Arial"/>
                <w:sz w:val="20"/>
                <w:szCs w:val="20"/>
              </w:rPr>
              <w:t>Bachelor’s degree in any discipline, and six semester units in American history and institutions</w:t>
            </w:r>
          </w:p>
        </w:tc>
      </w:tr>
      <w:tr w:rsidR="003E1079" w:rsidTr="00557E8B">
        <w:trPr>
          <w:trHeight w:val="1052"/>
        </w:trPr>
        <w:tc>
          <w:tcPr>
            <w:tcW w:w="1615" w:type="dxa"/>
          </w:tcPr>
          <w:p w:rsidR="003E1079" w:rsidRPr="00557E8B" w:rsidRDefault="003E1079" w:rsidP="00E57350">
            <w:pPr>
              <w:rPr>
                <w:rFonts w:ascii="Arial" w:hAnsi="Arial" w:cs="Arial"/>
                <w:color w:val="000000"/>
                <w:sz w:val="20"/>
                <w:szCs w:val="20"/>
              </w:rPr>
            </w:pPr>
            <w:r w:rsidRPr="00557E8B">
              <w:rPr>
                <w:rFonts w:ascii="Arial" w:hAnsi="Arial" w:cs="Arial"/>
                <w:color w:val="000000"/>
                <w:sz w:val="20"/>
                <w:szCs w:val="20"/>
              </w:rPr>
              <w:t>Health and Safety Education</w:t>
            </w:r>
          </w:p>
          <w:p w:rsidR="003E1079" w:rsidRPr="00557E8B" w:rsidRDefault="003E1079" w:rsidP="00E57350">
            <w:pPr>
              <w:rPr>
                <w:rFonts w:ascii="Arial" w:hAnsi="Arial" w:cs="Arial"/>
                <w:sz w:val="20"/>
                <w:szCs w:val="20"/>
              </w:rPr>
            </w:pPr>
          </w:p>
        </w:tc>
        <w:tc>
          <w:tcPr>
            <w:tcW w:w="1260" w:type="dxa"/>
          </w:tcPr>
          <w:p w:rsidR="003E1079" w:rsidRPr="00557E8B" w:rsidRDefault="003E1079" w:rsidP="00E57350">
            <w:pPr>
              <w:rPr>
                <w:rFonts w:ascii="Arial" w:hAnsi="Arial" w:cs="Arial"/>
                <w:color w:val="000000"/>
                <w:sz w:val="20"/>
                <w:szCs w:val="20"/>
              </w:rPr>
            </w:pPr>
            <w:r w:rsidRPr="00557E8B">
              <w:rPr>
                <w:rFonts w:ascii="Arial" w:hAnsi="Arial" w:cs="Arial"/>
                <w:color w:val="000000"/>
                <w:sz w:val="20"/>
                <w:szCs w:val="20"/>
              </w:rPr>
              <w:t>Dean of SINS</w:t>
            </w:r>
          </w:p>
          <w:p w:rsidR="003E1079" w:rsidRPr="00557E8B" w:rsidRDefault="003E1079" w:rsidP="00E57350">
            <w:pPr>
              <w:rPr>
                <w:rFonts w:ascii="Arial" w:hAnsi="Arial" w:cs="Arial"/>
                <w:color w:val="000000"/>
                <w:sz w:val="20"/>
                <w:szCs w:val="20"/>
              </w:rPr>
            </w:pPr>
          </w:p>
          <w:p w:rsidR="003E1079" w:rsidRPr="00557E8B" w:rsidRDefault="003E1079" w:rsidP="00E57350">
            <w:pPr>
              <w:rPr>
                <w:rFonts w:ascii="Arial" w:hAnsi="Arial" w:cs="Arial"/>
                <w:color w:val="000000"/>
                <w:sz w:val="20"/>
                <w:szCs w:val="20"/>
              </w:rPr>
            </w:pPr>
            <w:r w:rsidRPr="00557E8B">
              <w:rPr>
                <w:rFonts w:ascii="Arial" w:hAnsi="Arial" w:cs="Arial"/>
                <w:color w:val="000000"/>
                <w:sz w:val="20"/>
                <w:szCs w:val="20"/>
              </w:rPr>
              <w:t>Dean of CTE</w:t>
            </w:r>
          </w:p>
        </w:tc>
        <w:tc>
          <w:tcPr>
            <w:tcW w:w="1440" w:type="dxa"/>
          </w:tcPr>
          <w:p w:rsidR="003E1079" w:rsidRPr="00557E8B" w:rsidRDefault="003E1079" w:rsidP="00E57350">
            <w:pPr>
              <w:rPr>
                <w:rFonts w:ascii="Arial" w:hAnsi="Arial" w:cs="Arial"/>
                <w:color w:val="000000"/>
                <w:sz w:val="20"/>
                <w:szCs w:val="20"/>
              </w:rPr>
            </w:pPr>
            <w:r w:rsidRPr="00557E8B">
              <w:rPr>
                <w:rFonts w:ascii="Arial" w:hAnsi="Arial" w:cs="Arial"/>
                <w:color w:val="000000"/>
                <w:sz w:val="20"/>
                <w:szCs w:val="20"/>
              </w:rPr>
              <w:t xml:space="preserve">Kinesiology &amp; Health Dept </w:t>
            </w:r>
          </w:p>
          <w:p w:rsidR="003E1079" w:rsidRPr="00557E8B" w:rsidRDefault="003E1079" w:rsidP="00E57350">
            <w:pPr>
              <w:rPr>
                <w:rFonts w:ascii="Arial" w:hAnsi="Arial" w:cs="Arial"/>
                <w:color w:val="000000"/>
                <w:sz w:val="20"/>
                <w:szCs w:val="20"/>
              </w:rPr>
            </w:pPr>
          </w:p>
          <w:p w:rsidR="003E1079" w:rsidRPr="00557E8B" w:rsidRDefault="003E1079" w:rsidP="00E57350">
            <w:pPr>
              <w:rPr>
                <w:rFonts w:ascii="Arial" w:hAnsi="Arial" w:cs="Arial"/>
                <w:color w:val="000000"/>
                <w:sz w:val="20"/>
                <w:szCs w:val="20"/>
              </w:rPr>
            </w:pPr>
            <w:r w:rsidRPr="00557E8B">
              <w:rPr>
                <w:rFonts w:ascii="Arial" w:hAnsi="Arial" w:cs="Arial"/>
                <w:color w:val="000000"/>
                <w:sz w:val="20"/>
                <w:szCs w:val="20"/>
              </w:rPr>
              <w:t>Public Safety &amp; Services Dept</w:t>
            </w:r>
          </w:p>
        </w:tc>
        <w:tc>
          <w:tcPr>
            <w:tcW w:w="1440" w:type="dxa"/>
          </w:tcPr>
          <w:p w:rsidR="003E1079" w:rsidRPr="00557E8B" w:rsidRDefault="003E1079" w:rsidP="00E57350">
            <w:pPr>
              <w:rPr>
                <w:rFonts w:ascii="Arial" w:hAnsi="Arial" w:cs="Arial"/>
                <w:sz w:val="20"/>
                <w:szCs w:val="20"/>
              </w:rPr>
            </w:pPr>
            <w:r w:rsidRPr="00557E8B">
              <w:rPr>
                <w:rFonts w:ascii="Arial" w:hAnsi="Arial" w:cs="Arial"/>
                <w:sz w:val="20"/>
                <w:szCs w:val="20"/>
              </w:rPr>
              <w:t>HSE/N-6xx</w:t>
            </w:r>
          </w:p>
        </w:tc>
        <w:tc>
          <w:tcPr>
            <w:tcW w:w="4410" w:type="dxa"/>
          </w:tcPr>
          <w:p w:rsidR="003E1079" w:rsidRPr="00557E8B" w:rsidRDefault="003E1079" w:rsidP="00E57350">
            <w:pPr>
              <w:rPr>
                <w:rFonts w:ascii="Arial" w:hAnsi="Arial" w:cs="Arial"/>
                <w:sz w:val="20"/>
                <w:szCs w:val="20"/>
              </w:rPr>
            </w:pPr>
            <w:r w:rsidRPr="00557E8B">
              <w:rPr>
                <w:rFonts w:ascii="Arial" w:hAnsi="Arial" w:cs="Arial"/>
                <w:sz w:val="20"/>
                <w:szCs w:val="20"/>
              </w:rPr>
              <w:t>This curriculum is designed to offer lifelong education to promote the health, safety and well-being of individuals, families and communities.</w:t>
            </w:r>
          </w:p>
        </w:tc>
        <w:tc>
          <w:tcPr>
            <w:tcW w:w="4225" w:type="dxa"/>
          </w:tcPr>
          <w:p w:rsidR="003E1079" w:rsidRPr="00557E8B" w:rsidRDefault="003E1079" w:rsidP="00E57350">
            <w:pPr>
              <w:pStyle w:val="NormalWeb"/>
              <w:spacing w:before="0" w:beforeAutospacing="0" w:after="0" w:afterAutospacing="0"/>
              <w:ind w:hanging="10"/>
              <w:rPr>
                <w:rFonts w:ascii="Arial" w:hAnsi="Arial" w:cs="Arial"/>
                <w:color w:val="000000"/>
                <w:sz w:val="20"/>
                <w:szCs w:val="20"/>
              </w:rPr>
            </w:pPr>
            <w:r w:rsidRPr="00557E8B">
              <w:rPr>
                <w:rFonts w:ascii="Arial" w:hAnsi="Arial" w:cs="Arial"/>
                <w:color w:val="000000"/>
                <w:sz w:val="20"/>
                <w:szCs w:val="20"/>
              </w:rPr>
              <w:t>Bachelor’s degree in health science, health education, biology, nursing, dietetics, or nutrition; or an associate degree in any of those subjects, and four years of professional experience related to the subject of the course taught.</w:t>
            </w:r>
          </w:p>
        </w:tc>
      </w:tr>
      <w:tr w:rsidR="003E1079" w:rsidTr="00557E8B">
        <w:trPr>
          <w:trHeight w:val="1655"/>
        </w:trPr>
        <w:tc>
          <w:tcPr>
            <w:tcW w:w="1615" w:type="dxa"/>
          </w:tcPr>
          <w:p w:rsidR="003E1079" w:rsidRPr="00557E8B" w:rsidRDefault="003E1079" w:rsidP="00E57350">
            <w:pPr>
              <w:rPr>
                <w:rFonts w:ascii="Arial" w:hAnsi="Arial" w:cs="Arial"/>
                <w:color w:val="000000"/>
                <w:sz w:val="20"/>
                <w:szCs w:val="20"/>
              </w:rPr>
            </w:pPr>
            <w:r w:rsidRPr="00557E8B">
              <w:rPr>
                <w:rFonts w:ascii="Arial" w:hAnsi="Arial" w:cs="Arial"/>
                <w:color w:val="000000"/>
                <w:sz w:val="20"/>
                <w:szCs w:val="20"/>
              </w:rPr>
              <w:lastRenderedPageBreak/>
              <w:t>Home Economics (Consumer and Family Sciences</w:t>
            </w:r>
          </w:p>
          <w:p w:rsidR="003E1079" w:rsidRPr="00557E8B" w:rsidRDefault="003E1079" w:rsidP="00E57350">
            <w:pPr>
              <w:rPr>
                <w:rFonts w:ascii="Arial" w:hAnsi="Arial" w:cs="Arial"/>
                <w:sz w:val="20"/>
                <w:szCs w:val="20"/>
              </w:rPr>
            </w:pPr>
          </w:p>
        </w:tc>
        <w:tc>
          <w:tcPr>
            <w:tcW w:w="1260" w:type="dxa"/>
          </w:tcPr>
          <w:p w:rsidR="003E1079" w:rsidRPr="00557E8B" w:rsidRDefault="003E1079" w:rsidP="00E57350">
            <w:pPr>
              <w:rPr>
                <w:rFonts w:ascii="Arial" w:hAnsi="Arial" w:cs="Arial"/>
                <w:sz w:val="20"/>
                <w:szCs w:val="20"/>
              </w:rPr>
            </w:pPr>
            <w:r w:rsidRPr="00557E8B">
              <w:rPr>
                <w:rFonts w:ascii="Arial" w:hAnsi="Arial" w:cs="Arial"/>
                <w:sz w:val="20"/>
                <w:szCs w:val="20"/>
              </w:rPr>
              <w:t>Dean of SINS</w:t>
            </w:r>
          </w:p>
          <w:p w:rsidR="003E1079" w:rsidRPr="00557E8B" w:rsidRDefault="003E1079" w:rsidP="00E57350">
            <w:pPr>
              <w:rPr>
                <w:rFonts w:ascii="Arial" w:hAnsi="Arial" w:cs="Arial"/>
                <w:sz w:val="20"/>
                <w:szCs w:val="20"/>
              </w:rPr>
            </w:pPr>
          </w:p>
          <w:p w:rsidR="003E1079" w:rsidRPr="00557E8B" w:rsidRDefault="003E1079" w:rsidP="00E57350">
            <w:pPr>
              <w:rPr>
                <w:rFonts w:ascii="Arial" w:hAnsi="Arial" w:cs="Arial"/>
                <w:sz w:val="20"/>
                <w:szCs w:val="20"/>
              </w:rPr>
            </w:pPr>
            <w:r w:rsidRPr="00557E8B">
              <w:rPr>
                <w:rFonts w:ascii="Arial" w:hAnsi="Arial" w:cs="Arial"/>
                <w:color w:val="000000"/>
                <w:sz w:val="20"/>
                <w:szCs w:val="20"/>
              </w:rPr>
              <w:t>Dean of CTE</w:t>
            </w:r>
          </w:p>
        </w:tc>
        <w:tc>
          <w:tcPr>
            <w:tcW w:w="1440" w:type="dxa"/>
          </w:tcPr>
          <w:p w:rsidR="003E1079" w:rsidRPr="00557E8B" w:rsidRDefault="003E1079" w:rsidP="00E57350">
            <w:pPr>
              <w:rPr>
                <w:rFonts w:ascii="Arial" w:hAnsi="Arial" w:cs="Arial"/>
                <w:sz w:val="20"/>
                <w:szCs w:val="20"/>
              </w:rPr>
            </w:pPr>
            <w:r w:rsidRPr="00557E8B">
              <w:rPr>
                <w:rFonts w:ascii="Arial" w:hAnsi="Arial" w:cs="Arial"/>
                <w:sz w:val="20"/>
                <w:szCs w:val="20"/>
              </w:rPr>
              <w:t xml:space="preserve">Social Sciences Dept </w:t>
            </w:r>
          </w:p>
          <w:p w:rsidR="003E1079" w:rsidRPr="00557E8B" w:rsidRDefault="003E1079" w:rsidP="00E57350">
            <w:pPr>
              <w:rPr>
                <w:rFonts w:ascii="Arial" w:hAnsi="Arial" w:cs="Arial"/>
                <w:sz w:val="20"/>
                <w:szCs w:val="20"/>
              </w:rPr>
            </w:pPr>
          </w:p>
          <w:p w:rsidR="003E1079" w:rsidRPr="00557E8B" w:rsidRDefault="003E1079" w:rsidP="00E57350">
            <w:pPr>
              <w:rPr>
                <w:rFonts w:ascii="Arial" w:hAnsi="Arial" w:cs="Arial"/>
                <w:sz w:val="20"/>
                <w:szCs w:val="20"/>
              </w:rPr>
            </w:pPr>
            <w:r w:rsidRPr="00557E8B">
              <w:rPr>
                <w:rFonts w:ascii="Arial" w:hAnsi="Arial" w:cs="Arial"/>
                <w:sz w:val="20"/>
                <w:szCs w:val="20"/>
              </w:rPr>
              <w:t>Human Development Dept</w:t>
            </w:r>
          </w:p>
        </w:tc>
        <w:tc>
          <w:tcPr>
            <w:tcW w:w="1440" w:type="dxa"/>
          </w:tcPr>
          <w:p w:rsidR="003E1079" w:rsidRPr="00557E8B" w:rsidRDefault="003E1079" w:rsidP="00E57350">
            <w:pPr>
              <w:rPr>
                <w:rFonts w:ascii="Arial" w:hAnsi="Arial" w:cs="Arial"/>
                <w:sz w:val="20"/>
                <w:szCs w:val="20"/>
              </w:rPr>
            </w:pPr>
            <w:r w:rsidRPr="00557E8B">
              <w:rPr>
                <w:rFonts w:ascii="Arial" w:hAnsi="Arial" w:cs="Arial"/>
                <w:sz w:val="20"/>
                <w:szCs w:val="20"/>
              </w:rPr>
              <w:t>HEC/N-6xx</w:t>
            </w:r>
          </w:p>
        </w:tc>
        <w:tc>
          <w:tcPr>
            <w:tcW w:w="4410" w:type="dxa"/>
          </w:tcPr>
          <w:p w:rsidR="003E1079" w:rsidRPr="00557E8B" w:rsidRDefault="003E1079" w:rsidP="00E57350">
            <w:pPr>
              <w:rPr>
                <w:rFonts w:ascii="Arial" w:hAnsi="Arial" w:cs="Arial"/>
                <w:sz w:val="20"/>
                <w:szCs w:val="20"/>
              </w:rPr>
            </w:pPr>
            <w:r w:rsidRPr="00557E8B">
              <w:rPr>
                <w:rFonts w:ascii="Arial" w:hAnsi="Arial" w:cs="Arial"/>
                <w:sz w:val="20"/>
                <w:szCs w:val="20"/>
              </w:rPr>
              <w:t>These courses are designed to offer lifelong education to enhance the quality of home, family, career and community life. This area of instruction provides educational opportunities that respond to human needs, future technologies, consumer decision-making and lifelong learning</w:t>
            </w:r>
          </w:p>
        </w:tc>
        <w:tc>
          <w:tcPr>
            <w:tcW w:w="4225" w:type="dxa"/>
          </w:tcPr>
          <w:p w:rsidR="003E1079" w:rsidRPr="00557E8B" w:rsidRDefault="003E1079" w:rsidP="00E57350">
            <w:pPr>
              <w:pStyle w:val="NormalWeb"/>
              <w:spacing w:before="0" w:beforeAutospacing="0" w:after="0" w:afterAutospacing="0"/>
              <w:ind w:hanging="10"/>
              <w:rPr>
                <w:rFonts w:ascii="Arial" w:hAnsi="Arial" w:cs="Arial"/>
                <w:color w:val="000000"/>
                <w:sz w:val="20"/>
                <w:szCs w:val="20"/>
              </w:rPr>
            </w:pPr>
            <w:r w:rsidRPr="00557E8B">
              <w:rPr>
                <w:rFonts w:ascii="Arial" w:hAnsi="Arial" w:cs="Arial"/>
                <w:color w:val="000000"/>
                <w:sz w:val="20"/>
                <w:szCs w:val="20"/>
              </w:rPr>
              <w:t>Bachelor’s degree in home economics, life management, family and consumer studies, dietetics, food management interior design, or clothing and textiles; or an associated degree in any of those subjects and four years of professional experience related to the subject of the course taught.</w:t>
            </w:r>
          </w:p>
        </w:tc>
      </w:tr>
      <w:tr w:rsidR="003E1079" w:rsidTr="00557E8B">
        <w:tc>
          <w:tcPr>
            <w:tcW w:w="1615" w:type="dxa"/>
          </w:tcPr>
          <w:p w:rsidR="003E1079" w:rsidRPr="00557E8B" w:rsidRDefault="003E1079" w:rsidP="00E57350">
            <w:pPr>
              <w:rPr>
                <w:rFonts w:ascii="Arial" w:hAnsi="Arial" w:cs="Arial"/>
                <w:sz w:val="20"/>
                <w:szCs w:val="20"/>
              </w:rPr>
            </w:pPr>
            <w:r w:rsidRPr="00557E8B">
              <w:rPr>
                <w:rFonts w:ascii="Arial" w:hAnsi="Arial" w:cs="Arial"/>
                <w:sz w:val="20"/>
                <w:szCs w:val="20"/>
              </w:rPr>
              <w:t>Parenting</w:t>
            </w:r>
          </w:p>
          <w:p w:rsidR="003E1079" w:rsidRPr="00557E8B" w:rsidRDefault="003E1079" w:rsidP="00E57350">
            <w:pPr>
              <w:rPr>
                <w:rFonts w:ascii="Arial" w:hAnsi="Arial" w:cs="Arial"/>
                <w:sz w:val="20"/>
                <w:szCs w:val="20"/>
              </w:rPr>
            </w:pPr>
          </w:p>
        </w:tc>
        <w:tc>
          <w:tcPr>
            <w:tcW w:w="1260" w:type="dxa"/>
          </w:tcPr>
          <w:p w:rsidR="003E1079" w:rsidRPr="00557E8B" w:rsidRDefault="003E1079" w:rsidP="00E57350">
            <w:pPr>
              <w:rPr>
                <w:rFonts w:ascii="Arial" w:hAnsi="Arial" w:cs="Arial"/>
                <w:sz w:val="20"/>
                <w:szCs w:val="20"/>
              </w:rPr>
            </w:pPr>
            <w:r w:rsidRPr="00557E8B">
              <w:rPr>
                <w:rFonts w:ascii="Arial" w:hAnsi="Arial" w:cs="Arial"/>
                <w:sz w:val="20"/>
                <w:szCs w:val="20"/>
              </w:rPr>
              <w:t>Dean of SINS</w:t>
            </w:r>
          </w:p>
          <w:p w:rsidR="003E1079" w:rsidRPr="00557E8B" w:rsidRDefault="003E1079" w:rsidP="00E57350">
            <w:pPr>
              <w:rPr>
                <w:rFonts w:ascii="Arial" w:hAnsi="Arial" w:cs="Arial"/>
                <w:sz w:val="20"/>
                <w:szCs w:val="20"/>
              </w:rPr>
            </w:pPr>
          </w:p>
          <w:p w:rsidR="003E1079" w:rsidRPr="00557E8B" w:rsidRDefault="003E1079" w:rsidP="00E57350">
            <w:pPr>
              <w:rPr>
                <w:rFonts w:ascii="Arial" w:hAnsi="Arial" w:cs="Arial"/>
                <w:sz w:val="20"/>
                <w:szCs w:val="20"/>
              </w:rPr>
            </w:pPr>
            <w:r w:rsidRPr="00557E8B">
              <w:rPr>
                <w:rFonts w:ascii="Arial" w:hAnsi="Arial" w:cs="Arial"/>
                <w:sz w:val="20"/>
                <w:szCs w:val="20"/>
              </w:rPr>
              <w:t>Dean of CTC</w:t>
            </w:r>
          </w:p>
        </w:tc>
        <w:tc>
          <w:tcPr>
            <w:tcW w:w="1440" w:type="dxa"/>
          </w:tcPr>
          <w:p w:rsidR="003E1079" w:rsidRPr="00557E8B" w:rsidRDefault="003E1079" w:rsidP="000F2757">
            <w:pPr>
              <w:rPr>
                <w:rFonts w:ascii="Arial" w:hAnsi="Arial" w:cs="Arial"/>
                <w:sz w:val="20"/>
                <w:szCs w:val="20"/>
              </w:rPr>
            </w:pPr>
            <w:r w:rsidRPr="00557E8B">
              <w:rPr>
                <w:rFonts w:ascii="Arial" w:hAnsi="Arial" w:cs="Arial"/>
                <w:sz w:val="20"/>
                <w:szCs w:val="20"/>
              </w:rPr>
              <w:t xml:space="preserve">Social Sciences Dept </w:t>
            </w:r>
          </w:p>
          <w:p w:rsidR="003E1079" w:rsidRPr="00557E8B" w:rsidRDefault="003E1079" w:rsidP="000F2757">
            <w:pPr>
              <w:rPr>
                <w:rFonts w:ascii="Arial" w:hAnsi="Arial" w:cs="Arial"/>
                <w:sz w:val="20"/>
                <w:szCs w:val="20"/>
              </w:rPr>
            </w:pPr>
          </w:p>
          <w:p w:rsidR="003E1079" w:rsidRPr="00557E8B" w:rsidRDefault="003E1079" w:rsidP="000F2757">
            <w:pPr>
              <w:rPr>
                <w:rFonts w:ascii="Arial" w:hAnsi="Arial" w:cs="Arial"/>
                <w:sz w:val="20"/>
                <w:szCs w:val="20"/>
              </w:rPr>
            </w:pPr>
            <w:r w:rsidRPr="00557E8B">
              <w:rPr>
                <w:rFonts w:ascii="Arial" w:hAnsi="Arial" w:cs="Arial"/>
                <w:sz w:val="20"/>
                <w:szCs w:val="20"/>
              </w:rPr>
              <w:t>Human Development Dept</w:t>
            </w:r>
          </w:p>
        </w:tc>
        <w:tc>
          <w:tcPr>
            <w:tcW w:w="1440" w:type="dxa"/>
          </w:tcPr>
          <w:p w:rsidR="003E1079" w:rsidRPr="00557E8B" w:rsidRDefault="003E1079" w:rsidP="00E57350">
            <w:pPr>
              <w:rPr>
                <w:rFonts w:ascii="Arial" w:hAnsi="Arial" w:cs="Arial"/>
                <w:sz w:val="20"/>
                <w:szCs w:val="20"/>
              </w:rPr>
            </w:pPr>
            <w:r w:rsidRPr="00557E8B">
              <w:rPr>
                <w:rFonts w:ascii="Arial" w:hAnsi="Arial" w:cs="Arial"/>
                <w:sz w:val="20"/>
                <w:szCs w:val="20"/>
              </w:rPr>
              <w:t>PRT/N-6xx</w:t>
            </w:r>
          </w:p>
        </w:tc>
        <w:tc>
          <w:tcPr>
            <w:tcW w:w="4410" w:type="dxa"/>
          </w:tcPr>
          <w:p w:rsidR="003E1079" w:rsidRPr="00557E8B" w:rsidRDefault="003E1079" w:rsidP="00E57350">
            <w:pPr>
              <w:rPr>
                <w:rFonts w:ascii="Arial" w:hAnsi="Arial" w:cs="Arial"/>
                <w:sz w:val="20"/>
                <w:szCs w:val="20"/>
              </w:rPr>
            </w:pPr>
            <w:r w:rsidRPr="00557E8B">
              <w:rPr>
                <w:rFonts w:ascii="Arial" w:hAnsi="Arial" w:cs="Arial"/>
                <w:sz w:val="20"/>
                <w:szCs w:val="20"/>
              </w:rPr>
              <w:t>Courses include parent cooperative preschools, child growth and development, and parent/child relationships. This curriculum is designed to offer lifelong education in parenting, child development and family relations in order to enhance the quality of home, family, career and community life.</w:t>
            </w:r>
          </w:p>
        </w:tc>
        <w:tc>
          <w:tcPr>
            <w:tcW w:w="4225" w:type="dxa"/>
          </w:tcPr>
          <w:p w:rsidR="003E1079" w:rsidRPr="00557E8B" w:rsidRDefault="003E1079" w:rsidP="00E57350">
            <w:pPr>
              <w:rPr>
                <w:rFonts w:ascii="Arial" w:hAnsi="Arial" w:cs="Arial"/>
                <w:sz w:val="20"/>
                <w:szCs w:val="20"/>
              </w:rPr>
            </w:pPr>
            <w:r w:rsidRPr="00557E8B">
              <w:rPr>
                <w:rFonts w:ascii="Arial" w:hAnsi="Arial" w:cs="Arial"/>
                <w:sz w:val="20"/>
                <w:szCs w:val="20"/>
              </w:rPr>
              <w:t>Bachelor’s degree in child development, early childhood education, human development, family and consumer studies with a specialization in child development or early childhood education, educational psychology with a specialization in child development, elementary education, psychology, or family life studies; and two years of professional experience in early childhood programs or parenting education.</w:t>
            </w:r>
          </w:p>
        </w:tc>
      </w:tr>
      <w:tr w:rsidR="003E1079" w:rsidTr="00557E8B">
        <w:tc>
          <w:tcPr>
            <w:tcW w:w="1615" w:type="dxa"/>
          </w:tcPr>
          <w:p w:rsidR="003E1079" w:rsidRPr="00557E8B" w:rsidRDefault="003E1079" w:rsidP="00E57350">
            <w:pPr>
              <w:rPr>
                <w:rFonts w:ascii="Arial" w:hAnsi="Arial" w:cs="Arial"/>
                <w:color w:val="000000"/>
                <w:sz w:val="20"/>
                <w:szCs w:val="20"/>
              </w:rPr>
            </w:pPr>
            <w:r w:rsidRPr="00557E8B">
              <w:rPr>
                <w:rFonts w:ascii="Arial" w:hAnsi="Arial" w:cs="Arial"/>
                <w:color w:val="000000"/>
                <w:sz w:val="20"/>
                <w:szCs w:val="20"/>
              </w:rPr>
              <w:t>Education Programs for Persons with Substantial Disabilities</w:t>
            </w:r>
          </w:p>
          <w:p w:rsidR="003E1079" w:rsidRPr="00557E8B" w:rsidRDefault="003E1079" w:rsidP="00E57350">
            <w:pPr>
              <w:rPr>
                <w:rFonts w:ascii="Arial" w:hAnsi="Arial" w:cs="Arial"/>
                <w:sz w:val="20"/>
                <w:szCs w:val="20"/>
              </w:rPr>
            </w:pPr>
          </w:p>
        </w:tc>
        <w:tc>
          <w:tcPr>
            <w:tcW w:w="1260" w:type="dxa"/>
          </w:tcPr>
          <w:p w:rsidR="003E1079" w:rsidRPr="00557E8B" w:rsidRDefault="003E1079" w:rsidP="00E57350">
            <w:pPr>
              <w:rPr>
                <w:rFonts w:ascii="Arial" w:hAnsi="Arial" w:cs="Arial"/>
                <w:sz w:val="20"/>
                <w:szCs w:val="20"/>
              </w:rPr>
            </w:pPr>
            <w:r w:rsidRPr="00557E8B">
              <w:rPr>
                <w:rFonts w:ascii="Arial" w:hAnsi="Arial" w:cs="Arial"/>
                <w:sz w:val="20"/>
                <w:szCs w:val="20"/>
              </w:rPr>
              <w:t>Dean of Counseling</w:t>
            </w:r>
          </w:p>
        </w:tc>
        <w:tc>
          <w:tcPr>
            <w:tcW w:w="1440" w:type="dxa"/>
          </w:tcPr>
          <w:p w:rsidR="003E1079" w:rsidRPr="00557E8B" w:rsidRDefault="003E1079" w:rsidP="00E57350">
            <w:pPr>
              <w:rPr>
                <w:rFonts w:ascii="Arial" w:hAnsi="Arial" w:cs="Arial"/>
                <w:sz w:val="20"/>
                <w:szCs w:val="20"/>
              </w:rPr>
            </w:pPr>
            <w:r w:rsidRPr="00557E8B">
              <w:rPr>
                <w:rFonts w:ascii="Arial" w:hAnsi="Arial" w:cs="Arial"/>
                <w:sz w:val="20"/>
                <w:szCs w:val="20"/>
              </w:rPr>
              <w:t>Counseling Department</w:t>
            </w:r>
          </w:p>
        </w:tc>
        <w:tc>
          <w:tcPr>
            <w:tcW w:w="1440" w:type="dxa"/>
          </w:tcPr>
          <w:p w:rsidR="003E1079" w:rsidRPr="00557E8B" w:rsidRDefault="003E1079" w:rsidP="00E57350">
            <w:pPr>
              <w:rPr>
                <w:rFonts w:ascii="Arial" w:hAnsi="Arial" w:cs="Arial"/>
                <w:sz w:val="20"/>
                <w:szCs w:val="20"/>
              </w:rPr>
            </w:pPr>
            <w:r w:rsidRPr="00557E8B">
              <w:rPr>
                <w:rFonts w:ascii="Arial" w:hAnsi="Arial" w:cs="Arial"/>
                <w:sz w:val="20"/>
                <w:szCs w:val="20"/>
              </w:rPr>
              <w:t>ASD/N-6xx</w:t>
            </w:r>
          </w:p>
        </w:tc>
        <w:tc>
          <w:tcPr>
            <w:tcW w:w="4410" w:type="dxa"/>
          </w:tcPr>
          <w:p w:rsidR="003E1079" w:rsidRPr="00557E8B" w:rsidRDefault="003E1079" w:rsidP="00E57350">
            <w:pPr>
              <w:rPr>
                <w:rFonts w:ascii="Arial" w:hAnsi="Arial" w:cs="Arial"/>
                <w:sz w:val="20"/>
                <w:szCs w:val="20"/>
              </w:rPr>
            </w:pPr>
            <w:r w:rsidRPr="00557E8B">
              <w:rPr>
                <w:rFonts w:ascii="Arial" w:hAnsi="Arial" w:cs="Arial"/>
                <w:sz w:val="20"/>
                <w:szCs w:val="20"/>
              </w:rPr>
              <w:t>This curriculum is designed to provide students with life skill proficiencies that are essential in the fulfillment of academic, vocational and personal goals. A person with substantial disabilities is a person who has a physical or mental impairment that substantially limits one or more major life activities, a person who has a history or record of such impairment, or a person who is perceived by others as having such impairment.</w:t>
            </w:r>
          </w:p>
        </w:tc>
        <w:tc>
          <w:tcPr>
            <w:tcW w:w="4225" w:type="dxa"/>
          </w:tcPr>
          <w:p w:rsidR="003E1079" w:rsidRPr="00557E8B" w:rsidRDefault="003E1079" w:rsidP="00E57350">
            <w:pPr>
              <w:pStyle w:val="NormalWeb"/>
              <w:spacing w:before="0" w:beforeAutospacing="0" w:after="0" w:afterAutospacing="0"/>
              <w:ind w:hanging="10"/>
              <w:rPr>
                <w:rFonts w:ascii="Arial" w:hAnsi="Arial" w:cs="Arial"/>
                <w:sz w:val="20"/>
                <w:szCs w:val="20"/>
              </w:rPr>
            </w:pPr>
            <w:r w:rsidRPr="00557E8B">
              <w:rPr>
                <w:rFonts w:ascii="Arial" w:hAnsi="Arial" w:cs="Arial"/>
                <w:color w:val="000000"/>
                <w:sz w:val="20"/>
                <w:szCs w:val="20"/>
              </w:rPr>
              <w:t xml:space="preserve">A bachelor’s degree with any of the following majors: education of students with specific or multiple disabilities; special education; psychology; physical education with an emphasis in adaptive physical education; communicative disorders; rehabilitation; computer-based education; other computer-related majors which include course work on adapted or assistive computer technology for students with disabilities; other majors related to providing specialized instruction or services to persons with disabilities. </w:t>
            </w:r>
            <w:r w:rsidRPr="00557E8B">
              <w:rPr>
                <w:rFonts w:ascii="Arial" w:hAnsi="Arial" w:cs="Arial"/>
                <w:b/>
                <w:bCs/>
                <w:color w:val="000000"/>
                <w:sz w:val="20"/>
                <w:szCs w:val="20"/>
              </w:rPr>
              <w:t>OR</w:t>
            </w:r>
          </w:p>
          <w:p w:rsidR="003E1079" w:rsidRPr="00557E8B" w:rsidRDefault="003E1079" w:rsidP="00E57350">
            <w:pPr>
              <w:pStyle w:val="NormalWeb"/>
              <w:spacing w:before="0" w:beforeAutospacing="0" w:after="0" w:afterAutospacing="0"/>
              <w:ind w:hanging="10"/>
              <w:rPr>
                <w:rFonts w:ascii="Arial" w:hAnsi="Arial" w:cs="Arial"/>
                <w:sz w:val="20"/>
                <w:szCs w:val="20"/>
              </w:rPr>
            </w:pPr>
            <w:r w:rsidRPr="00557E8B">
              <w:rPr>
                <w:rFonts w:ascii="Arial" w:hAnsi="Arial" w:cs="Arial"/>
                <w:color w:val="000000"/>
                <w:sz w:val="20"/>
                <w:szCs w:val="20"/>
              </w:rPr>
              <w:t>An associate degree with one of the majors specified in subparagraph (2) above; and four years of experience providing specialized instruction or services to persons in the disability category or categories being served.</w:t>
            </w:r>
          </w:p>
        </w:tc>
      </w:tr>
    </w:tbl>
    <w:p w:rsidR="00FF1651" w:rsidRPr="00FF1651" w:rsidRDefault="00FF1651" w:rsidP="00FF1651"/>
    <w:sectPr w:rsidR="00FF1651" w:rsidRPr="00FF1651" w:rsidSect="008C2E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9FC" w:rsidRDefault="008D49FC" w:rsidP="00FF1651">
      <w:pPr>
        <w:spacing w:after="0" w:line="240" w:lineRule="auto"/>
      </w:pPr>
      <w:r>
        <w:separator/>
      </w:r>
    </w:p>
  </w:endnote>
  <w:endnote w:type="continuationSeparator" w:id="0">
    <w:p w:rsidR="008D49FC" w:rsidRDefault="008D49FC" w:rsidP="00FF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9FC" w:rsidRDefault="008D49FC" w:rsidP="00FF1651">
      <w:pPr>
        <w:spacing w:after="0" w:line="240" w:lineRule="auto"/>
      </w:pPr>
      <w:r>
        <w:separator/>
      </w:r>
    </w:p>
  </w:footnote>
  <w:footnote w:type="continuationSeparator" w:id="0">
    <w:p w:rsidR="008D49FC" w:rsidRDefault="008D49FC" w:rsidP="00FF1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53E6E"/>
    <w:multiLevelType w:val="hybridMultilevel"/>
    <w:tmpl w:val="7CAC4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51"/>
    <w:rsid w:val="00045A99"/>
    <w:rsid w:val="000A0B95"/>
    <w:rsid w:val="000F2757"/>
    <w:rsid w:val="00174E88"/>
    <w:rsid w:val="00231C6C"/>
    <w:rsid w:val="002E1E82"/>
    <w:rsid w:val="0032158C"/>
    <w:rsid w:val="003A4C29"/>
    <w:rsid w:val="003E1079"/>
    <w:rsid w:val="004334F5"/>
    <w:rsid w:val="004E3CE8"/>
    <w:rsid w:val="00542779"/>
    <w:rsid w:val="00557E8B"/>
    <w:rsid w:val="006333B6"/>
    <w:rsid w:val="0069698C"/>
    <w:rsid w:val="006D48CE"/>
    <w:rsid w:val="008039AA"/>
    <w:rsid w:val="008C2E5B"/>
    <w:rsid w:val="008D49FC"/>
    <w:rsid w:val="008F44CF"/>
    <w:rsid w:val="00AD6CBA"/>
    <w:rsid w:val="00AE05FC"/>
    <w:rsid w:val="00B16D7A"/>
    <w:rsid w:val="00B55256"/>
    <w:rsid w:val="00B65300"/>
    <w:rsid w:val="00C97D30"/>
    <w:rsid w:val="00DF02F9"/>
    <w:rsid w:val="00E10738"/>
    <w:rsid w:val="00E469AA"/>
    <w:rsid w:val="00E57350"/>
    <w:rsid w:val="00E60686"/>
    <w:rsid w:val="00ED736F"/>
    <w:rsid w:val="00F33B3D"/>
    <w:rsid w:val="00FE334B"/>
    <w:rsid w:val="00FF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2348B-F6BF-4AC8-A2F7-F4A55D91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165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1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51"/>
  </w:style>
  <w:style w:type="paragraph" w:styleId="Footer">
    <w:name w:val="footer"/>
    <w:basedOn w:val="Normal"/>
    <w:link w:val="FooterChar"/>
    <w:uiPriority w:val="99"/>
    <w:unhideWhenUsed/>
    <w:rsid w:val="00FF1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651"/>
  </w:style>
  <w:style w:type="paragraph" w:styleId="ListParagraph">
    <w:name w:val="List Paragraph"/>
    <w:basedOn w:val="Normal"/>
    <w:uiPriority w:val="34"/>
    <w:qFormat/>
    <w:rsid w:val="000F2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98924">
      <w:bodyDiv w:val="1"/>
      <w:marLeft w:val="0"/>
      <w:marRight w:val="0"/>
      <w:marTop w:val="0"/>
      <w:marBottom w:val="0"/>
      <w:divBdr>
        <w:top w:val="none" w:sz="0" w:space="0" w:color="auto"/>
        <w:left w:val="none" w:sz="0" w:space="0" w:color="auto"/>
        <w:bottom w:val="none" w:sz="0" w:space="0" w:color="auto"/>
        <w:right w:val="none" w:sz="0" w:space="0" w:color="auto"/>
      </w:divBdr>
    </w:div>
    <w:div w:id="299845260">
      <w:bodyDiv w:val="1"/>
      <w:marLeft w:val="0"/>
      <w:marRight w:val="0"/>
      <w:marTop w:val="0"/>
      <w:marBottom w:val="0"/>
      <w:divBdr>
        <w:top w:val="none" w:sz="0" w:space="0" w:color="auto"/>
        <w:left w:val="none" w:sz="0" w:space="0" w:color="auto"/>
        <w:bottom w:val="none" w:sz="0" w:space="0" w:color="auto"/>
        <w:right w:val="none" w:sz="0" w:space="0" w:color="auto"/>
      </w:divBdr>
    </w:div>
    <w:div w:id="564993671">
      <w:bodyDiv w:val="1"/>
      <w:marLeft w:val="0"/>
      <w:marRight w:val="0"/>
      <w:marTop w:val="0"/>
      <w:marBottom w:val="0"/>
      <w:divBdr>
        <w:top w:val="none" w:sz="0" w:space="0" w:color="auto"/>
        <w:left w:val="none" w:sz="0" w:space="0" w:color="auto"/>
        <w:bottom w:val="none" w:sz="0" w:space="0" w:color="auto"/>
        <w:right w:val="none" w:sz="0" w:space="0" w:color="auto"/>
      </w:divBdr>
    </w:div>
    <w:div w:id="654141158">
      <w:bodyDiv w:val="1"/>
      <w:marLeft w:val="0"/>
      <w:marRight w:val="0"/>
      <w:marTop w:val="0"/>
      <w:marBottom w:val="0"/>
      <w:divBdr>
        <w:top w:val="none" w:sz="0" w:space="0" w:color="auto"/>
        <w:left w:val="none" w:sz="0" w:space="0" w:color="auto"/>
        <w:bottom w:val="none" w:sz="0" w:space="0" w:color="auto"/>
        <w:right w:val="none" w:sz="0" w:space="0" w:color="auto"/>
      </w:divBdr>
    </w:div>
    <w:div w:id="756291211">
      <w:bodyDiv w:val="1"/>
      <w:marLeft w:val="0"/>
      <w:marRight w:val="0"/>
      <w:marTop w:val="0"/>
      <w:marBottom w:val="0"/>
      <w:divBdr>
        <w:top w:val="none" w:sz="0" w:space="0" w:color="auto"/>
        <w:left w:val="none" w:sz="0" w:space="0" w:color="auto"/>
        <w:bottom w:val="none" w:sz="0" w:space="0" w:color="auto"/>
        <w:right w:val="none" w:sz="0" w:space="0" w:color="auto"/>
      </w:divBdr>
    </w:div>
    <w:div w:id="993025445">
      <w:bodyDiv w:val="1"/>
      <w:marLeft w:val="0"/>
      <w:marRight w:val="0"/>
      <w:marTop w:val="0"/>
      <w:marBottom w:val="0"/>
      <w:divBdr>
        <w:top w:val="none" w:sz="0" w:space="0" w:color="auto"/>
        <w:left w:val="none" w:sz="0" w:space="0" w:color="auto"/>
        <w:bottom w:val="none" w:sz="0" w:space="0" w:color="auto"/>
        <w:right w:val="none" w:sz="0" w:space="0" w:color="auto"/>
      </w:divBdr>
    </w:div>
    <w:div w:id="1742826291">
      <w:bodyDiv w:val="1"/>
      <w:marLeft w:val="0"/>
      <w:marRight w:val="0"/>
      <w:marTop w:val="0"/>
      <w:marBottom w:val="0"/>
      <w:divBdr>
        <w:top w:val="none" w:sz="0" w:space="0" w:color="auto"/>
        <w:left w:val="none" w:sz="0" w:space="0" w:color="auto"/>
        <w:bottom w:val="none" w:sz="0" w:space="0" w:color="auto"/>
        <w:right w:val="none" w:sz="0" w:space="0" w:color="auto"/>
      </w:divBdr>
    </w:div>
    <w:div w:id="1747728879">
      <w:bodyDiv w:val="1"/>
      <w:marLeft w:val="0"/>
      <w:marRight w:val="0"/>
      <w:marTop w:val="0"/>
      <w:marBottom w:val="0"/>
      <w:divBdr>
        <w:top w:val="none" w:sz="0" w:space="0" w:color="auto"/>
        <w:left w:val="none" w:sz="0" w:space="0" w:color="auto"/>
        <w:bottom w:val="none" w:sz="0" w:space="0" w:color="auto"/>
        <w:right w:val="none" w:sz="0" w:space="0" w:color="auto"/>
      </w:divBdr>
    </w:div>
    <w:div w:id="211859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Denise R</dc:creator>
  <cp:keywords/>
  <dc:description/>
  <cp:lastModifiedBy>Denise Allen</cp:lastModifiedBy>
  <cp:revision>2</cp:revision>
  <cp:lastPrinted>2018-03-01T20:31:00Z</cp:lastPrinted>
  <dcterms:created xsi:type="dcterms:W3CDTF">2018-03-24T22:21:00Z</dcterms:created>
  <dcterms:modified xsi:type="dcterms:W3CDTF">2018-03-24T22:21:00Z</dcterms:modified>
</cp:coreProperties>
</file>