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BC0DEF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24139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 xml:space="preserve"> / Person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7330E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  <w:p w:rsidR="009D61BA" w:rsidRPr="001E3AD5" w:rsidRDefault="0047330E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(please reference </w:t>
            </w:r>
            <w:r w:rsidR="00BC0DEF" w:rsidRPr="00BC0DEF">
              <w:rPr>
                <w:rFonts w:ascii="Arial" w:hAnsi="Arial" w:cs="Arial"/>
                <w:b/>
                <w:sz w:val="20"/>
                <w:szCs w:val="22"/>
              </w:rPr>
              <w:t>section names</w:t>
            </w: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 for all comments)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736191" w:rsidRPr="00063F49" w:rsidTr="00384EFF">
        <w:tc>
          <w:tcPr>
            <w:tcW w:w="1908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page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number as shown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D1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120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group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or individual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making the change as shown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D120EC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EMPC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736191" w:rsidRDefault="00736191" w:rsidP="006C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section 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with specific verbiage changes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as shown below.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C1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recommending new language for consideration, please include the new language.</w:t>
            </w:r>
          </w:p>
          <w:p w:rsidR="00736191" w:rsidRDefault="00736191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D120EC" w:rsidP="007361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first question, the following metrics need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added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fall to spring retention, and number of degrees and certificates</w:t>
            </w:r>
            <w:r w:rsidR="00BC0DEF" w:rsidRPr="00BC0DEF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6191" w:rsidRP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DE9D9" w:themeFill="accent6" w:themeFillTint="33"/>
          </w:tcPr>
          <w:p w:rsidR="00736191" w:rsidRPr="00736191" w:rsidRDefault="001B43D7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DO NOT USE THIS BOX. This box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is used</w:t>
            </w:r>
            <w:proofErr w:type="gram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 track final changes that are agreed upon and made.</w:t>
            </w:r>
          </w:p>
        </w:tc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2B7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rStyle w:val="IntenseEmphasis"/>
                <w:b w:val="0"/>
                <w:i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123A5" w:rsidRPr="00317E40" w:rsidRDefault="003123A5" w:rsidP="00D743BC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7C034F" w:rsidRDefault="00E81429" w:rsidP="00D743B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D743B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C034F" w:rsidRPr="00317E40" w:rsidRDefault="007C034F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317E40" w:rsidRPr="00EE702B" w:rsidRDefault="00317E40" w:rsidP="00317E40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063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7C034F" w:rsidRPr="00EE702B" w:rsidRDefault="007C034F" w:rsidP="00EE702B">
            <w:pPr>
              <w:shd w:val="clear" w:color="auto" w:fill="FFFFFF"/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31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7C034F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E702B" w:rsidRPr="00063F49" w:rsidTr="007F767A">
        <w:tc>
          <w:tcPr>
            <w:tcW w:w="1908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063F49" w:rsidRDefault="00EE702B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E81429">
        <w:tc>
          <w:tcPr>
            <w:tcW w:w="1908" w:type="dxa"/>
            <w:vAlign w:val="bottom"/>
          </w:tcPr>
          <w:p w:rsidR="00E81429" w:rsidRPr="00974CE9" w:rsidRDefault="00E81429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974CE9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974CE9" w:rsidRDefault="00E81429" w:rsidP="00063F49">
            <w:pPr>
              <w:jc w:val="both"/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974CE9" w:rsidRDefault="00E81429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BC0DEF">
      <w:headerReference w:type="default" r:id="rId7"/>
      <w:footerReference w:type="even" r:id="rId8"/>
      <w:footerReference w:type="default" r:id="rId9"/>
      <w:pgSz w:w="15840" w:h="12240" w:orient="landscape" w:code="1"/>
      <w:pgMar w:top="225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B5" w:rsidRDefault="00C057B5">
      <w:r>
        <w:separator/>
      </w:r>
    </w:p>
  </w:endnote>
  <w:endnote w:type="continuationSeparator" w:id="0">
    <w:p w:rsidR="00C057B5" w:rsidRDefault="00C0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20E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B5" w:rsidRDefault="00C057B5">
      <w:r>
        <w:separator/>
      </w:r>
    </w:p>
  </w:footnote>
  <w:footnote w:type="continuationSeparator" w:id="0">
    <w:p w:rsidR="00C057B5" w:rsidRDefault="00C0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Pr="00E81429" w:rsidRDefault="00BC0DE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CHC </w:t>
    </w:r>
    <w:r w:rsidR="00D120EC">
      <w:rPr>
        <w:rFonts w:ascii="Arial" w:hAnsi="Arial" w:cs="Arial"/>
        <w:b/>
      </w:rPr>
      <w:t>GUIDED PATHWAYS SELF-ASSESSMENT</w:t>
    </w:r>
    <w:r w:rsidR="00D441B0">
      <w:rPr>
        <w:rFonts w:ascii="Arial" w:hAnsi="Arial" w:cs="Arial"/>
        <w:b/>
      </w:rPr>
      <w:t xml:space="preserve"> </w:t>
    </w:r>
    <w:r w:rsidR="00D441B0" w:rsidRPr="00E81429">
      <w:rPr>
        <w:rFonts w:ascii="Arial" w:hAnsi="Arial" w:cs="Arial"/>
        <w:b/>
      </w:rPr>
      <w:t>COMMENT FORM</w:t>
    </w:r>
  </w:p>
  <w:p w:rsidR="00D441B0" w:rsidRDefault="00D441B0" w:rsidP="00B66B20">
    <w:pPr>
      <w:pStyle w:val="Header"/>
      <w:rPr>
        <w:rFonts w:ascii="Arial" w:hAnsi="Arial" w:cs="Arial"/>
        <w:i/>
      </w:rPr>
    </w:pPr>
  </w:p>
  <w:tbl>
    <w:tblPr>
      <w:tblW w:w="13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48"/>
    </w:tblGrid>
    <w:tr w:rsidR="009D4909" w:rsidRPr="006B18B5" w:rsidTr="005D6910">
      <w:tc>
        <w:tcPr>
          <w:tcW w:w="3780" w:type="dxa"/>
        </w:tcPr>
        <w:p w:rsidR="009D4909" w:rsidRPr="006B18B5" w:rsidRDefault="009D4909" w:rsidP="00BC0DEF">
          <w:pPr>
            <w:rPr>
              <w:rFonts w:ascii="Arial" w:hAnsi="Arial" w:cs="Arial"/>
              <w:sz w:val="20"/>
              <w:szCs w:val="20"/>
            </w:rPr>
          </w:pPr>
          <w:r w:rsidRPr="00BC0DEF">
            <w:rPr>
              <w:rFonts w:ascii="Arial" w:hAnsi="Arial" w:cs="Arial"/>
              <w:sz w:val="20"/>
              <w:szCs w:val="20"/>
            </w:rPr>
            <w:t>NOTE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&amp; </w:t>
          </w:r>
          <w:r w:rsidR="00736191" w:rsidRPr="00BC0DEF">
            <w:rPr>
              <w:rFonts w:ascii="Arial" w:hAnsi="Arial" w:cs="Arial"/>
              <w:b/>
              <w:sz w:val="20"/>
              <w:szCs w:val="20"/>
              <w:u w:val="double"/>
            </w:rPr>
            <w:t>SEE EXAMPLE BELOW</w:t>
          </w:r>
          <w:r w:rsidRPr="00BC0DEF">
            <w:rPr>
              <w:rFonts w:ascii="Arial" w:hAnsi="Arial" w:cs="Arial"/>
              <w:sz w:val="20"/>
              <w:szCs w:val="20"/>
            </w:rPr>
            <w:t xml:space="preserve">: When submitting comment form, please make sure each </w:t>
          </w:r>
          <w:r w:rsidR="00BC0DEF">
            <w:rPr>
              <w:rFonts w:ascii="Arial" w:hAnsi="Arial" w:cs="Arial"/>
              <w:sz w:val="20"/>
              <w:szCs w:val="20"/>
            </w:rPr>
            <w:t>comment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Pr="00BC0DEF">
            <w:rPr>
              <w:rFonts w:ascii="Arial" w:hAnsi="Arial" w:cs="Arial"/>
              <w:sz w:val="20"/>
              <w:szCs w:val="20"/>
            </w:rPr>
            <w:t>is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listed</w:t>
          </w:r>
          <w:proofErr w:type="gramEnd"/>
          <w:r w:rsidR="00736191" w:rsidRPr="00BC0DEF">
            <w:rPr>
              <w:rFonts w:ascii="Arial" w:hAnsi="Arial" w:cs="Arial"/>
              <w:sz w:val="20"/>
              <w:szCs w:val="20"/>
            </w:rPr>
            <w:t xml:space="preserve"> on separate lines, the representative group must be listed, and </w:t>
          </w:r>
          <w:r w:rsidRPr="00BC0DEF">
            <w:rPr>
              <w:rFonts w:ascii="Arial" w:hAnsi="Arial" w:cs="Arial"/>
              <w:sz w:val="20"/>
              <w:szCs w:val="20"/>
            </w:rPr>
            <w:t xml:space="preserve">the comments should reference the </w:t>
          </w:r>
          <w:r w:rsidR="00BC0DEF">
            <w:rPr>
              <w:rFonts w:ascii="Arial" w:hAnsi="Arial" w:cs="Arial"/>
              <w:sz w:val="20"/>
              <w:szCs w:val="20"/>
            </w:rPr>
            <w:t>page number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with specific verbiage to be changed, added, or deleted.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The response box </w:t>
          </w:r>
          <w:proofErr w:type="gramStart"/>
          <w:r w:rsidR="00736191" w:rsidRPr="00BC0DEF">
            <w:rPr>
              <w:rFonts w:ascii="Arial" w:hAnsi="Arial" w:cs="Arial"/>
              <w:sz w:val="20"/>
              <w:szCs w:val="20"/>
            </w:rPr>
            <w:t>should be left</w:t>
          </w:r>
          <w:proofErr w:type="gramEnd"/>
          <w:r w:rsidR="00736191" w:rsidRPr="00BC0DEF">
            <w:rPr>
              <w:rFonts w:ascii="Arial" w:hAnsi="Arial" w:cs="Arial"/>
              <w:sz w:val="20"/>
              <w:szCs w:val="20"/>
            </w:rPr>
            <w:t xml:space="preserve"> blank.</w:t>
          </w:r>
        </w:p>
      </w:tc>
    </w:tr>
  </w:tbl>
  <w:p w:rsidR="009D4909" w:rsidRPr="00B66B20" w:rsidRDefault="009D4909" w:rsidP="00BC0DEF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 w15:restartNumberingAfterBreak="0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6AAF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43405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81E75"/>
    <w:rsid w:val="0029038F"/>
    <w:rsid w:val="00290481"/>
    <w:rsid w:val="002A4F7B"/>
    <w:rsid w:val="002A71D6"/>
    <w:rsid w:val="002A7A5A"/>
    <w:rsid w:val="002B7617"/>
    <w:rsid w:val="002C56E7"/>
    <w:rsid w:val="002D6BB3"/>
    <w:rsid w:val="002D7714"/>
    <w:rsid w:val="002E0E9B"/>
    <w:rsid w:val="002F0B74"/>
    <w:rsid w:val="00304458"/>
    <w:rsid w:val="00311FAD"/>
    <w:rsid w:val="003123A5"/>
    <w:rsid w:val="003159BC"/>
    <w:rsid w:val="00317E40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96A8C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D2F8D"/>
    <w:rsid w:val="004D62C4"/>
    <w:rsid w:val="004E05C3"/>
    <w:rsid w:val="00503080"/>
    <w:rsid w:val="00510534"/>
    <w:rsid w:val="005145AE"/>
    <w:rsid w:val="00516995"/>
    <w:rsid w:val="00517A85"/>
    <w:rsid w:val="00534CFE"/>
    <w:rsid w:val="005435D9"/>
    <w:rsid w:val="0054589D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D3C80"/>
    <w:rsid w:val="005E7588"/>
    <w:rsid w:val="005F3CBF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034F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C1781"/>
    <w:rsid w:val="008C2AFE"/>
    <w:rsid w:val="008C33E8"/>
    <w:rsid w:val="008E57F6"/>
    <w:rsid w:val="00900038"/>
    <w:rsid w:val="00937CD1"/>
    <w:rsid w:val="0094199E"/>
    <w:rsid w:val="0095582B"/>
    <w:rsid w:val="0095608A"/>
    <w:rsid w:val="0095761D"/>
    <w:rsid w:val="00974CE9"/>
    <w:rsid w:val="0098679B"/>
    <w:rsid w:val="00986CA5"/>
    <w:rsid w:val="00992743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4709A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0DEF"/>
    <w:rsid w:val="00BC7358"/>
    <w:rsid w:val="00BD1DA9"/>
    <w:rsid w:val="00BD2FB8"/>
    <w:rsid w:val="00BD5117"/>
    <w:rsid w:val="00BE68AC"/>
    <w:rsid w:val="00C04E4C"/>
    <w:rsid w:val="00C057B5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7B50"/>
    <w:rsid w:val="00D120EC"/>
    <w:rsid w:val="00D16662"/>
    <w:rsid w:val="00D21E50"/>
    <w:rsid w:val="00D42B3B"/>
    <w:rsid w:val="00D441B0"/>
    <w:rsid w:val="00D53593"/>
    <w:rsid w:val="00D743BC"/>
    <w:rsid w:val="00D80586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E702B"/>
    <w:rsid w:val="00EF201B"/>
    <w:rsid w:val="00F30C97"/>
    <w:rsid w:val="00F31334"/>
    <w:rsid w:val="00F35890"/>
    <w:rsid w:val="00F36781"/>
    <w:rsid w:val="00F36AF2"/>
    <w:rsid w:val="00F46413"/>
    <w:rsid w:val="00F83D73"/>
    <w:rsid w:val="00F91B13"/>
    <w:rsid w:val="00F94B38"/>
    <w:rsid w:val="00FA1C1F"/>
    <w:rsid w:val="00FA744C"/>
    <w:rsid w:val="00FB1F71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B40F2"/>
  <w15:docId w15:val="{36969362-21CB-44C7-A323-141FD45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Wurtz, Keith A</cp:lastModifiedBy>
  <cp:revision>3</cp:revision>
  <cp:lastPrinted>2014-04-07T15:35:00Z</cp:lastPrinted>
  <dcterms:created xsi:type="dcterms:W3CDTF">2016-08-19T19:17:00Z</dcterms:created>
  <dcterms:modified xsi:type="dcterms:W3CDTF">2017-10-17T20:31:00Z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