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E82F" w14:textId="77777777" w:rsidR="001F411E" w:rsidRDefault="001F411E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4EBE33CE" w14:textId="77777777" w:rsidR="001F411E" w:rsidRDefault="001F411E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71D652C7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4632A08B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</w:t>
      </w:r>
    </w:p>
    <w:p w14:paraId="1F45BEE7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1F411E" w14:paraId="66AD4BF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658E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D6EC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E982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Baugh, Nikki)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0EE5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33E8E91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4EC6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C80F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E83F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C261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05CD21A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0540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Diaz, Koen)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1415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4D6E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O’Reilly, Ashley)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7310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095DD7E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D7C9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Cruz,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Gisselle )</w:t>
            </w:r>
            <w:proofErr w:type="gramEnd"/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9A3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9DDC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CADF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3937371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964E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Ayala, Hugo)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2E2A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D69A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A784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2B1B15D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3EED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Cole, Allyson)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C2F7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78C3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B492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15BD27A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9F0F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Burdick, Joshua)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DBC5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B576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3FBD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75064DB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099B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Garcia, Jazmyn)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490A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D448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AB37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6D440E5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8077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Barrios, Meghan)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143F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8582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B725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1510321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CC71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EFFA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3D5D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CFB4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4A90D1C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6B74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(Garcia, Samuel)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FA3B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B95F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(---)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48CD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11E" w14:paraId="2592FEC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1842" w14:textId="77777777" w:rsidR="001F411E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Black, Danni)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5D77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6EA1" w14:textId="77777777" w:rsidR="001F411E" w:rsidRDefault="001F411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EC81" w14:textId="77777777" w:rsidR="001F411E" w:rsidRDefault="001F41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3452A68" w14:textId="77777777" w:rsidR="001F411E" w:rsidRDefault="001F411E">
      <w:pPr>
        <w:widowControl w:val="0"/>
        <w:rPr>
          <w:rFonts w:ascii="Times New Roman" w:eastAsia="Times New Roman" w:hAnsi="Times New Roman" w:cs="Times New Roman"/>
          <w:b/>
        </w:rPr>
      </w:pPr>
    </w:p>
    <w:p w14:paraId="5F7892E6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2FA86775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location </w:t>
      </w:r>
    </w:p>
    <w:p w14:paraId="6A95CE8A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14:paraId="10217893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</w:p>
    <w:p w14:paraId="6F1B5D37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</w:p>
    <w:p w14:paraId="07D40191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</w:p>
    <w:p w14:paraId="6B4CD171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</w:rPr>
      </w:pPr>
    </w:p>
    <w:p w14:paraId="7D0BDDF9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4B4F9876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798BC36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979392F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A93AA8C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1E029AF9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64FFFB53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</w:p>
    <w:p w14:paraId="4B599A2F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concern that 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questions posed, however, for further information, please contact the CHC Student Senate President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for  the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54954.2) </w:t>
      </w:r>
    </w:p>
    <w:p w14:paraId="477CE0A7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</w:p>
    <w:p w14:paraId="1CC34FDF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(10 min)</w:t>
      </w:r>
    </w:p>
    <w:p w14:paraId="0BDBD264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</w:rPr>
      </w:pPr>
    </w:p>
    <w:p w14:paraId="0B22F889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57A547B5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ABCBD79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35BDB92D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4A75D4AE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</w:t>
      </w:r>
      <w:r>
        <w:rPr>
          <w:rFonts w:ascii="Times New Roman" w:eastAsia="Times New Roman" w:hAnsi="Times New Roman" w:cs="Times New Roman"/>
          <w:b/>
        </w:rPr>
        <w:t>s: Action Items</w:t>
      </w:r>
    </w:p>
    <w:p w14:paraId="256CEF2E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N/A</w:t>
      </w:r>
    </w:p>
    <w:p w14:paraId="5F2074A0" w14:textId="77777777" w:rsidR="001F411E" w:rsidRDefault="001F411E">
      <w:pPr>
        <w:widowControl w:val="0"/>
        <w:ind w:left="758"/>
        <w:rPr>
          <w:rFonts w:ascii="Times New Roman" w:eastAsia="Times New Roman" w:hAnsi="Times New Roman" w:cs="Times New Roman"/>
          <w:color w:val="0000FF"/>
        </w:rPr>
      </w:pPr>
    </w:p>
    <w:p w14:paraId="7B2711D0" w14:textId="77777777" w:rsidR="001F411E" w:rsidRDefault="00000000">
      <w:pPr>
        <w:widowControl w:val="0"/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New Business: Discussion Items</w:t>
      </w:r>
    </w:p>
    <w:p w14:paraId="24E343C9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Shaw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3DAC4D29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 to Senate </w:t>
      </w:r>
      <w:proofErr w:type="gramStart"/>
      <w:r>
        <w:rPr>
          <w:rFonts w:ascii="Times New Roman" w:eastAsia="Times New Roman" w:hAnsi="Times New Roman" w:cs="Times New Roman"/>
        </w:rPr>
        <w:t>In-Service day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16190141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Shaw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5851C88B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hear brief (one minute) presentations from past members regarding their position’s responsibilities.</w:t>
      </w:r>
    </w:p>
    <w:p w14:paraId="54876399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Shaw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6904BC05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decide on a time and day to hold meetings, as well as a date for the first meeting of Fall semester.</w:t>
      </w:r>
    </w:p>
    <w:p w14:paraId="75AE0B0B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7.4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Shaw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 </w:t>
      </w:r>
    </w:p>
    <w:p w14:paraId="30EA8F2C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hear a brief overview of the Student Senates major events throughout the year.</w:t>
      </w:r>
    </w:p>
    <w:p w14:paraId="31834D4C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7.5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Mason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15392CEF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complete a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goal planning activity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4D7D9BE0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7.6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 </w:t>
      </w:r>
    </w:p>
    <w:p w14:paraId="66D1AC0D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have the opportunity to ask questions regarding the Basics of the Brown Act &amp; Meetings presentation that was sent out ahead of time.</w:t>
      </w:r>
    </w:p>
    <w:p w14:paraId="14C25A19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7.7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Garcia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 </w:t>
      </w:r>
    </w:p>
    <w:p w14:paraId="7F072FB8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review the content of the personality tests sent out ahead of time.</w:t>
      </w:r>
    </w:p>
    <w:p w14:paraId="51BEA05A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7.8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 </w:t>
      </w:r>
    </w:p>
    <w:p w14:paraId="191A75F0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have the opportunity to ask questions regarding the SSCCC presentation that was sent out ahead of time.</w:t>
      </w:r>
    </w:p>
    <w:p w14:paraId="272B387A" w14:textId="77777777" w:rsidR="001F411E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7.9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Natour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 </w:t>
      </w:r>
    </w:p>
    <w:p w14:paraId="40227451" w14:textId="77777777" w:rsidR="001F411E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have the opportunity to ask questions regarding the Student Advocacy &amp; </w:t>
      </w:r>
      <w:proofErr w:type="gramStart"/>
      <w:r>
        <w:rPr>
          <w:rFonts w:ascii="Times New Roman" w:eastAsia="Times New Roman" w:hAnsi="Times New Roman" w:cs="Times New Roman"/>
        </w:rPr>
        <w:t>HACU  presentation</w:t>
      </w:r>
      <w:proofErr w:type="gramEnd"/>
      <w:r>
        <w:rPr>
          <w:rFonts w:ascii="Times New Roman" w:eastAsia="Times New Roman" w:hAnsi="Times New Roman" w:cs="Times New Roman"/>
        </w:rPr>
        <w:t xml:space="preserve"> that was sent out ahead of time.</w:t>
      </w:r>
    </w:p>
    <w:p w14:paraId="04D512A8" w14:textId="77777777" w:rsidR="001F411E" w:rsidRDefault="001F411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7D397897" w14:textId="77777777" w:rsidR="001F411E" w:rsidRDefault="001F411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20D43696" w14:textId="77777777" w:rsidR="001F411E" w:rsidRDefault="001F411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083EEA8B" w14:textId="77777777" w:rsidR="001F411E" w:rsidRDefault="001F411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70B885FF" w14:textId="77777777" w:rsidR="001F411E" w:rsidRDefault="00000000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71F98DFB" w14:textId="77777777" w:rsidR="001F411E" w:rsidRDefault="00000000">
      <w:pPr>
        <w:widowControl w:val="0"/>
        <w:ind w:left="35" w:right="6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</w:t>
      </w:r>
      <w:r>
        <w:rPr>
          <w:rFonts w:ascii="Times New Roman" w:eastAsia="Times New Roman" w:hAnsi="Times New Roman" w:cs="Times New Roman"/>
          <w:i/>
        </w:rPr>
        <w:lastRenderedPageBreak/>
        <w:t xml:space="preserve">once, by no more than 5 minutes. </w:t>
      </w:r>
    </w:p>
    <w:p w14:paraId="0DC8CA40" w14:textId="77777777" w:rsidR="001F411E" w:rsidRDefault="001F411E">
      <w:pPr>
        <w:widowControl w:val="0"/>
        <w:ind w:left="757"/>
        <w:rPr>
          <w:rFonts w:ascii="Times New Roman" w:eastAsia="Times New Roman" w:hAnsi="Times New Roman" w:cs="Times New Roman"/>
          <w:b/>
        </w:rPr>
        <w:sectPr w:rsidR="001F411E">
          <w:headerReference w:type="default" r:id="rId7"/>
          <w:headerReference w:type="first" r:id="rId8"/>
          <w:footerReference w:type="first" r:id="rId9"/>
          <w:pgSz w:w="12240" w:h="15840"/>
          <w:pgMar w:top="620" w:right="750" w:bottom="1875" w:left="1408" w:header="360" w:footer="720" w:gutter="0"/>
          <w:pgNumType w:start="1"/>
          <w:cols w:space="720"/>
          <w:titlePg/>
        </w:sectPr>
      </w:pPr>
    </w:p>
    <w:p w14:paraId="6B03BAA9" w14:textId="77777777" w:rsidR="001F411E" w:rsidRDefault="00000000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8.1 Adviser and Co-adviser Reports</w:t>
      </w:r>
    </w:p>
    <w:p w14:paraId="091CD531" w14:textId="77777777" w:rsidR="001F411E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8.2 Executive Council </w:t>
      </w:r>
    </w:p>
    <w:p w14:paraId="322B6C94" w14:textId="77777777" w:rsidR="001F411E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Inter-Club Council</w:t>
      </w:r>
    </w:p>
    <w:p w14:paraId="46F130F3" w14:textId="77777777" w:rsidR="001F411E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8.4 Officer Reports </w:t>
      </w:r>
    </w:p>
    <w:p w14:paraId="2DEFA32F" w14:textId="77777777" w:rsidR="001F411E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5D5411CC" w14:textId="77777777" w:rsidR="001F411E" w:rsidRDefault="00000000">
      <w:pPr>
        <w:widowControl w:val="0"/>
        <w:ind w:left="720"/>
        <w:rPr>
          <w:rFonts w:ascii="Times New Roman" w:eastAsia="Times New Roman" w:hAnsi="Times New Roman" w:cs="Times New Roman"/>
          <w:b/>
        </w:rPr>
        <w:sectPr w:rsidR="001F411E">
          <w:type w:val="continuous"/>
          <w:pgSz w:w="12240" w:h="15840"/>
          <w:pgMar w:top="620" w:right="750" w:bottom="1875" w:left="1408" w:header="360" w:footer="720" w:gutter="0"/>
          <w:cols w:num="2" w:space="720" w:equalWidth="0">
            <w:col w:w="4680" w:space="720"/>
            <w:col w:w="4680" w:space="0"/>
          </w:cols>
        </w:sectPr>
      </w:pPr>
      <w:r>
        <w:rPr>
          <w:rFonts w:ascii="Times New Roman" w:eastAsia="Times New Roman" w:hAnsi="Times New Roman" w:cs="Times New Roman"/>
          <w:b/>
        </w:rPr>
        <w:t>8.6 Classroom Announcements</w:t>
      </w:r>
    </w:p>
    <w:p w14:paraId="7D3BA323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73EE625C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1B404BF3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i/>
        </w:rPr>
        <w:t>the Wednesday before our next meeting.</w:t>
      </w:r>
    </w:p>
    <w:p w14:paraId="0CAE6BBE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1A680FEC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2537978B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TBD</w:t>
      </w:r>
    </w:p>
    <w:p w14:paraId="60BD7BEC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6047F110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 Adjournment -</w:t>
      </w:r>
    </w:p>
    <w:p w14:paraId="42F7D4F8" w14:textId="77777777" w:rsidR="001F411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p w14:paraId="38B205FC" w14:textId="77777777" w:rsidR="001F411E" w:rsidRDefault="001F411E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</w:p>
    <w:sectPr w:rsidR="001F411E">
      <w:type w:val="continuous"/>
      <w:pgSz w:w="12240" w:h="15840"/>
      <w:pgMar w:top="620" w:right="750" w:bottom="1875" w:left="140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36ADC" w14:textId="77777777" w:rsidR="00F83A7E" w:rsidRDefault="00F83A7E">
      <w:pPr>
        <w:spacing w:line="240" w:lineRule="auto"/>
      </w:pPr>
      <w:r>
        <w:separator/>
      </w:r>
    </w:p>
  </w:endnote>
  <w:endnote w:type="continuationSeparator" w:id="0">
    <w:p w14:paraId="53AFD958" w14:textId="77777777" w:rsidR="00F83A7E" w:rsidRDefault="00F83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8286" w14:textId="77777777" w:rsidR="001F411E" w:rsidRDefault="001F41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68362" w14:textId="77777777" w:rsidR="00F83A7E" w:rsidRDefault="00F83A7E">
      <w:pPr>
        <w:spacing w:line="240" w:lineRule="auto"/>
      </w:pPr>
      <w:r>
        <w:separator/>
      </w:r>
    </w:p>
  </w:footnote>
  <w:footnote w:type="continuationSeparator" w:id="0">
    <w:p w14:paraId="1443B072" w14:textId="77777777" w:rsidR="00F83A7E" w:rsidRDefault="00F83A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EB5F" w14:textId="77777777" w:rsidR="001F411E" w:rsidRDefault="001F41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405E" w14:textId="77777777" w:rsidR="001F411E" w:rsidRDefault="00000000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003CD7BD" wp14:editId="392D1765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141DDA" w14:textId="77777777" w:rsidR="001F411E" w:rsidRDefault="00000000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Special Meeting Agenda</w:t>
    </w:r>
  </w:p>
  <w:p w14:paraId="43CA2DE1" w14:textId="77777777" w:rsidR="001F411E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(PST) 25 Aug. </w:t>
    </w:r>
    <w:proofErr w:type="gramStart"/>
    <w:r>
      <w:rPr>
        <w:rFonts w:ascii="Times New Roman" w:eastAsia="Times New Roman" w:hAnsi="Times New Roman" w:cs="Times New Roman"/>
        <w:b/>
      </w:rPr>
      <w:t>7  4:00</w:t>
    </w:r>
    <w:proofErr w:type="gramEnd"/>
    <w:r>
      <w:rPr>
        <w:rFonts w:ascii="Times New Roman" w:eastAsia="Times New Roman" w:hAnsi="Times New Roman" w:cs="Times New Roman"/>
        <w:b/>
      </w:rPr>
      <w:t>pm - 6:00pm</w:t>
    </w:r>
  </w:p>
  <w:p w14:paraId="3E4EE9FA" w14:textId="77777777" w:rsidR="001F411E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74730278" w14:textId="77777777" w:rsidR="001F411E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7B32AFF3" w14:textId="77777777" w:rsidR="001F411E" w:rsidRDefault="001F411E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1E"/>
    <w:rsid w:val="001F3293"/>
    <w:rsid w:val="001F411E"/>
    <w:rsid w:val="009B7F64"/>
    <w:rsid w:val="00F8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B0F4"/>
  <w15:docId w15:val="{99BC46DB-F592-4AB5-9BA2-8A2D07D5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vOTcYibo/RnaxctFg0DhIr2UBU2foWA/view?utm_content=DAGvOTcYibo&amp;utm_campaign=designshare&amp;utm_medium=link2&amp;utm_source=uniquelinks&amp;utlId=h225a45dbc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c6e17ab0-d9c7-43e4-b85d-f29d7eca34a3}" enabled="1" method="Standard" siteId="{f6bb5689-1cd5-404a-b451-f35991b30e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Company>San Bernardino Community College District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2025-08-18T17:40:00Z</dcterms:created>
  <dcterms:modified xsi:type="dcterms:W3CDTF">2025-08-18T17:40:00Z</dcterms:modified>
</cp:coreProperties>
</file>